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DiPAV — Anforderungen an Interoperabilität</w:t>
      </w:r>
    </w:p>
    <w:p>
      <w:r>
        <w:rPr>
          <w:color w:val="555555"/>
          <w:sz w:val="18"/>
        </w:rPr>
        <w:t xml:space="preserve">Digitale Pflegeanwendungen-Verordnung</w:t>
      </w:r>
    </w:p>
    <w:p>
      <w:r>
        <w:rPr>
          <w:color w:val="555555"/>
          <w:sz w:val="18"/>
        </w:rPr>
        <w:t xml:space="preserve">Stand: 07.10.2022 (konsolidierte Textfassung, kein amtliches Inkrafttretensdatum)</w:t>
      </w:r>
    </w:p>
    <w:p>
      <w:r>
        <w:t xml:space="preserve">Als interoperable Formate nach § 6 Absatz 1 gelten offene, international anerkannte Standards und vom Hersteller der digitalen Pflegeanwendung bereitgestellte Profile über offene, international anerkannte Standards. Der Hersteller muss von ihm bereitgestellte Profile nach Satz 1 zur freien Nutzung in einem anerkannten Verzeichnis veröffentlichen. Sobald Festlegungen für die semantische und syntaktische Interoperabilität von Daten in der elektronischen Patientenakte nach § 355 Absatz 2a des Fünften Buches Sozialgesetzbuch getroffen worden sind, kann der Hersteller auch diese verwenden.</w:t>
      </w:r>
    </w:p>
    <w:p>
      <w:r>
        <w:rPr>
          <w:color w:val="555555"/>
          <w:sz w:val="17"/>
        </w:rPr>
        <w:t xml:space="preserve">Zitiervorschlag: § 7 DiPAV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https://recht.nulegal.eu/gesetze/DiPAV/7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