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DiPAV — Einigung über den Vorsitzenden und die unparteiischen Mitglieder der Schiedsstelle</w:t>
      </w:r>
    </w:p>
    <w:p>
      <w:r>
        <w:rPr>
          <w:color w:val="555555"/>
          <w:sz w:val="18"/>
        </w:rPr>
        <w:t xml:space="preserve">Digitale Pflegeanwendungen-Verordnung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Über den Vorsitzenden und die zwei weiteren unparteiischen Mitglieder sowie deren Stellvertreter sollen sich die in § 134 Absatz 3 des Fünften Buches Sozialgesetzbuch und die in § 78a Absatz 1 Satz 3 des Elften Buches Sozialgesetzbuch genannten Verbände gemeinsam einigen.</w:t>
      </w:r>
    </w:p>
    <w:p>
      <w:r>
        <w:rPr>
          <w:color w:val="555555"/>
          <w:sz w:val="17"/>
        </w:rPr>
        <w:t xml:space="preserve">Zitiervorschlag: § 33 DiPAV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https://recht.nulegal.eu/gesetze/DiPAV/33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