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DiPAV — Gebühren- und Auslagenschuldner</w:t>
      </w:r>
    </w:p>
    <w:p>
      <w:r>
        <w:rPr>
          <w:color w:val="555555"/>
          <w:sz w:val="18"/>
        </w:rPr>
        <w:t xml:space="preserve">Digitale Pflegeanwendungen-Verordnung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Zur Zahlung der Gebühren ist derjenige verpflichtet,</w:t>
      </w:r>
    </w:p>
    <w:p>
      <w:pPr>
        <w:ind w:left="420"/>
      </w:pPr>
      <w:r>
        <w:t xml:space="preserve">1. dem die öffentliche Leistung individuell zurechenbar ist,</w:t>
      </w:r>
    </w:p>
    <w:p>
      <w:pPr>
        <w:ind w:left="420"/>
      </w:pPr>
      <w:r>
        <w:t xml:space="preserve">2. der die Gebührenschuld eines anderen durch eine gegenüber dem Bundesinstitut für Arzneimittel und Medizinprodukte abgegebene oder ihr mitgeteilte Erklärung übernommen hat oder</w:t>
      </w:r>
    </w:p>
    <w:p>
      <w:pPr>
        <w:ind w:left="420"/>
      </w:pPr>
      <w:r>
        <w:t xml:space="preserve">3. der für die Gebührenschuld eines anderen kraft Gesetzes haftet.</w:t>
      </w:r>
    </w:p>
    <w:p>
      <w:r>
        <w:t xml:space="preserve">(2) Mehrere Gebührenschuldner haften als Gesamtschuldner.</w:t>
      </w:r>
    </w:p>
    <w:p>
      <w:r>
        <w:t xml:space="preserve">(3) Für Auslagen gelten die Absätze 1 und 2 entsprechend.</w:t>
      </w:r>
    </w:p>
    <w:p>
      <w:r>
        <w:rPr>
          <w:color w:val="555555"/>
          <w:sz w:val="17"/>
        </w:rPr>
        <w:t xml:space="preserve">Zitiervorschlag: § 32 DiPAV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https://recht.nulegal.eu/gesetze/DiPAV/32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