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DiPAV — Gebührenermäßigung und Gebührenbefreiung auf Antrag</w:t>
      </w:r>
    </w:p>
    <w:p>
      <w:r>
        <w:rPr>
          <w:color w:val="555555"/>
          <w:sz w:val="18"/>
        </w:rPr>
        <w:t xml:space="preserve">Digitale Pflegeanwendungen-Verordnung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nach den §§ 24 bis 26 zu erhebenden Gebühren können auf Antrag des Gebührenschuldners bis auf ein Viertel der vorgesehenen Gebühr ermäßigt werden, wenn</w:t>
      </w:r>
    </w:p>
    <w:p>
      <w:pPr>
        <w:ind w:left="420"/>
      </w:pPr>
      <w:r>
        <w:t xml:space="preserve">1. der Gebührenschuldner einen diesen Gebühren angemessenen wirtschaftlichen Nutzen nicht erwarten kann oder</w:t>
      </w:r>
    </w:p>
    <w:p>
      <w:pPr>
        <w:ind w:left="420"/>
      </w:pPr>
      <w:r>
        <w:t xml:space="preserve">2. die Nutzergruppe der digitalen Pflegeanwendung klein ist und somit Anwendungsfälle selten sind.</w:t>
      </w:r>
    </w:p>
    <w:p>
      <w:r>
        <w:t xml:space="preserve">(2) Von der Erhebung der Gebühren kann ganz abgesehen werden, wenn der zu erwartende wirtschaftliche Nutzen im Verhältnis zu den Gebühren besonders gering ist.</w:t>
      </w:r>
    </w:p>
    <w:p>
      <w:r>
        <w:rPr>
          <w:color w:val="555555"/>
          <w:sz w:val="17"/>
        </w:rPr>
        <w:t xml:space="preserve">Zitiervorschlag: § 29 DiPAV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https://recht.nulegal.eu/gesetze/DiPAV/29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