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DiPAV — Gebühren für Änderungsanzeigen und Streichung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Gebühr für die Bearbeitung einer Anzeige nach § 78a Absatz 5 Satz 5 des Elften Buches Sozialgesetzbuch in Verbindung mit § 139e Absatz 6 Satz 1 des Fünften Buches Sozialgesetzbuch beträgt</w:t>
      </w:r>
    </w:p>
    <w:p>
      <w:pPr>
        <w:ind w:left="420"/>
      </w:pPr>
      <w:r>
        <w:t xml:space="preserve">1. für die Anzeige der Vornahme wesentlicher Veränderungen an den digitalen Pflegeanwendungen mindestens 1 500 und höchstens 4 900 Euro sowie</w:t>
      </w:r>
    </w:p>
    <w:p>
      <w:pPr>
        <w:ind w:left="420"/>
      </w:pPr>
      <w:r>
        <w:t xml:space="preserve">2. für die Anzeige von Änderungen an den im Verzeichnis veröffentlichten Informationen mindestens 300 und höchstens 1 000 Euro.</w:t>
      </w:r>
    </w:p>
    <w:p>
      <w:r>
        <w:t xml:space="preserve">(2) Die Gebühr für die Streichung einer digitalen Pflegeanwendung gemäß § 78a Absatz 5 Satz 5 des Elften Buches Sozialgesetzbuch in Verbindung mit § 139e Absatz 6 Satz 6 und 9 des Fünften Buches Sozialgesetzbuch im Fall einer nach Aufforderung nicht fristgerechten Anzeige wesentlicher Veränderungen oder auf Antrag des Herstellers beträgt jeweils 200 Euro.</w:t>
      </w:r>
    </w:p>
    <w:p>
      <w:r>
        <w:t xml:space="preserve">(3) Die einfache Anzeige im Umfang geringfügiger und lediglich redaktioneller Änderungen von Angaben und Informationen nach § 17 Absatz 1 Satz 2 und 3 ist gebührenfrei.</w:t>
      </w:r>
    </w:p>
    <w:p>
      <w:r>
        <w:rPr>
          <w:color w:val="555555"/>
          <w:sz w:val="17"/>
        </w:rPr>
        <w:t xml:space="preserve">Zitiervorschlag: § 25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