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DiPAV — Bekanntmachung des Verzeichnisses für digitale Pflegeanwendungen im Bundesanzeiger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Durch das Bundesinstitut für Arzneimittel und Medizinprodukte sind im Bundesanzeiger bekannt zu machen:</w:t>
      </w:r>
    </w:p>
    <w:p>
      <w:pPr>
        <w:ind w:left="420"/>
      </w:pPr>
      <w:r>
        <w:t xml:space="preserve">1. die Errichtung des Verzeichnisses für digitale Pflegeanwendungen,</w:t>
      </w:r>
    </w:p>
    <w:p>
      <w:pPr>
        <w:ind w:left="420"/>
      </w:pPr>
      <w:r>
        <w:t xml:space="preserve">2. die Bildung neuer Gruppen oder die Veränderung bestehender Gruppen digitaler Pflegeanwendungen im Verzeichnis für digitale Pflegeanwendungen,</w:t>
      </w:r>
    </w:p>
    <w:p>
      <w:pPr>
        <w:ind w:left="420"/>
      </w:pPr>
      <w:r>
        <w:t xml:space="preserve">3. die Aufnahme neuer digitaler Pflegeanwendungen in das Verzeichnis für digitale Pflegeanwendungen,</w:t>
      </w:r>
    </w:p>
    <w:p>
      <w:pPr>
        <w:ind w:left="420"/>
      </w:pPr>
      <w:r>
        <w:t xml:space="preserve">4. die Änderungen an den im Verzeichnis veröffentlichten Informationen und</w:t>
      </w:r>
    </w:p>
    <w:p>
      <w:pPr>
        <w:ind w:left="420"/>
      </w:pPr>
      <w:r>
        <w:t xml:space="preserve">5. die Streichung von digitalen Pflegeanwendungen aus dem Verzeichnis für digitale Pflegeanwendungen.</w:t>
      </w:r>
    </w:p>
    <w:p>
      <w:r>
        <w:t xml:space="preserve">(2) Das Bundesinstitut für Arzneimittel und Medizinprodukte soll die Bekanntmachung nach Absatz 1 vierteljährlich vornehmen.</w:t>
      </w:r>
    </w:p>
    <w:p>
      <w:r>
        <w:t xml:space="preserve">(3) In der Bekanntmachung im Bundesanzeiger weist das Bundesinstitut für Arzneimittel und Medizinprodukte auf die Veröffentlichung des vollständigen Wortlautes der Bekanntmachungen nach Absatz 1 in dem elektronischen Verzeichnis für digitale Pflegeanwendungen auf den Internetseiten des Bundesinstituts für Arzneimittel und Medizinprodukte hin.</w:t>
      </w:r>
    </w:p>
    <w:p>
      <w:r>
        <w:rPr>
          <w:color w:val="555555"/>
          <w:sz w:val="17"/>
        </w:rPr>
        <w:t xml:space="preserve">Zitiervorschlag: § 21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