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 DiPAV — Weitere Ausgestaltung des elektronischen Verzeichnisses</w:t>
      </w:r>
    </w:p>
    <w:p>
      <w:r>
        <w:rPr>
          <w:color w:val="555555"/>
          <w:sz w:val="18"/>
        </w:rPr>
        <w:t xml:space="preserve">Digitale Pflegeanwendungen-Verordnung</w:t>
      </w:r>
    </w:p>
    <w:p>
      <w:r>
        <w:rPr>
          <w:color w:val="555555"/>
          <w:sz w:val="18"/>
        </w:rPr>
        <w:t xml:space="preserve">Stand: 01.07.2026 (konsolidierte Textfassung, kein amtliches Inkrafttretensdatum)</w:t>
      </w:r>
    </w:p>
    <w:p>
      <w:r>
        <w:t xml:space="preserve">(1) Im Verzeichnis für digitale Pflegeanwendungen werden weitere Angaben aus den eingereichten Unterlagen veröffentlicht, soweit dies für die Information der Pflegebedürftigen und Nutzer sowie der Kostenträger im Hinblick auf eine informierte Entscheidung und für die qualitätsgesicherte Versorgung mit der digitalen Pflegeanwendung erforderlich ist.</w:t>
      </w:r>
    </w:p>
    <w:p>
      <w:r>
        <w:t xml:space="preserve">(2) Das Bundesinstitut für Arzneimittel und Medizinprodukte ermöglicht die Nutzung der Angaben nach § 19 Absatz 2 und 3 durch die Landesverbände der Pflegekassen für Zwecke der Pflegeversicherung. Hierzu veröffentlicht das Bundesinstitut für Arzneimittel und Medizinprodukte mit Errichtung des Verzeichnisses eine geeignete Schnittstelle auf Basis international anerkannter Standards und beantragt deren Aufnahme auf die Plattform nach § 385 Absatz 1 Satz 2 Nummer 5 des Fünften Buches Sozialgesetzbuch.</w:t>
      </w:r>
    </w:p>
    <w:p>
      <w:r>
        <w:t xml:space="preserve">(3) Das Bundesinstitut für Arzneimittel und Medizinprodukte stellt die in § 19 Absatz 2 und 3 aufgeführten Angaben folgenden Berechtigten auf Antrag in maschinenlesbarer sowie plattformunabhängiger Form zur Verarbeitung und Veröffentlichung zur Verfügung:</w:t>
      </w:r>
    </w:p>
    <w:p>
      <w:pPr>
        <w:ind w:left="420"/>
      </w:pPr>
      <w:r>
        <w:t xml:space="preserve">1. dem Spitzenverband Bund der Pflegekassen,</w:t>
      </w:r>
    </w:p>
    <w:p>
      <w:pPr>
        <w:ind w:left="420"/>
      </w:pPr>
      <w:r>
        <w:t xml:space="preserve">2. dem Verband der privaten Krankenversicherung e. V.,</w:t>
      </w:r>
    </w:p>
    <w:p>
      <w:pPr>
        <w:ind w:left="420"/>
      </w:pPr>
      <w:r>
        <w:t xml:space="preserve">3. den Bundes- und Landesverbänden der Pflegekassen,</w:t>
      </w:r>
    </w:p>
    <w:p>
      <w:pPr>
        <w:ind w:left="420"/>
      </w:pPr>
      <w:r>
        <w:t xml:space="preserve">4. den Pflegekassen,</w:t>
      </w:r>
    </w:p>
    <w:p>
      <w:pPr>
        <w:ind w:left="420"/>
      </w:pPr>
      <w:r>
        <w:t xml:space="preserve">5. den maßgeblichen Spitzenorganisationen der Hersteller von digitalen Pflegeanwendungen,</w:t>
      </w:r>
    </w:p>
    <w:p>
      <w:pPr>
        <w:ind w:left="420"/>
      </w:pPr>
      <w:r>
        <w:t xml:space="preserve">6. den maßgeblichen Spitzenorganisationen der Hersteller von digitalen Gesundheitsanwendungen,</w:t>
      </w:r>
    </w:p>
    <w:p>
      <w:pPr>
        <w:ind w:left="420"/>
      </w:pPr>
      <w:r>
        <w:t xml:space="preserve">7. den Institutionen der Gesundheitsversorgungsforschung,</w:t>
      </w:r>
    </w:p>
    <w:p>
      <w:pPr>
        <w:ind w:left="420"/>
      </w:pPr>
      <w:r>
        <w:t xml:space="preserve">8. den Hochschulen, den öffentlich geförderten außeruniversitären Forschungseinrichtungen und sonstigen Einrichtungen mit der Aufgabe unabhängiger wissenschaftlicher Forschung, sofern die Daten wissenschaftlichen Vorhaben dienen,</w:t>
      </w:r>
    </w:p>
    <w:p>
      <w:pPr>
        <w:ind w:left="420"/>
      </w:pPr>
      <w:r>
        <w:t xml:space="preserve">9. der oder dem Bevollmächtigten der Bundesregierung für die Pflege,</w:t>
      </w:r>
    </w:p>
    <w:p>
      <w:pPr>
        <w:ind w:left="420"/>
      </w:pPr>
      <w:r>
        <w:t xml:space="preserve">10. der oder dem Beauftragten der Bundesregierung für die Belange der Patientinnen und Patienten,</w:t>
      </w:r>
    </w:p>
    <w:p>
      <w:pPr>
        <w:ind w:left="420"/>
      </w:pPr>
      <w:r>
        <w:t xml:space="preserve">11. den maßgeblichen Organisationen für die Wahrnehmung der Interessen und der Selbsthilfe pflegebedürftiger und behinderter Menschen nach § 118 des Elften Buches Sozialgesetzbuch,</w:t>
      </w:r>
    </w:p>
    <w:p>
      <w:pPr>
        <w:ind w:left="420"/>
      </w:pPr>
      <w:r>
        <w:t xml:space="preserve">12. den Vereinigungen der Träger der Pflegeeinrichtungen auf Bundesebene,</w:t>
      </w:r>
    </w:p>
    <w:p>
      <w:pPr>
        <w:ind w:left="420"/>
      </w:pPr>
      <w:r>
        <w:t xml:space="preserve">13. den Verbänden der Pflegeberufe auf Bundesebene,</w:t>
      </w:r>
    </w:p>
    <w:p>
      <w:pPr>
        <w:ind w:left="420"/>
      </w:pPr>
      <w:r>
        <w:t xml:space="preserve">14. den für die soziale Pflegeversicherung zuständigen obersten Bundes- und Landesbehörden und deren jeweiligen nachgeordneten Bereichen sowie den übrigen obersten Bundesbehörden,</w:t>
      </w:r>
    </w:p>
    <w:p>
      <w:pPr>
        <w:ind w:left="420"/>
      </w:pPr>
      <w:r>
        <w:t xml:space="preserve">15. sonstigen öffentlichen Stellen des Bundes, der Länder und Gemeinden sowie</w:t>
      </w:r>
    </w:p>
    <w:p>
      <w:pPr>
        <w:ind w:left="420"/>
      </w:pPr>
      <w:r>
        <w:t xml:space="preserve">16. gemeinnützigen juristischen Personen des Privatrechts.</w:t>
      </w:r>
    </w:p>
    <w:p>
      <w:r>
        <w:t xml:space="preserve">Das Nähere zu der Übermittlung der Daten, insbesondere zum Datenformat, zu den Nutzungsrechten und den Pflichten des Nutzers bei der Verwendung der Daten bestimmt das Bundesinstitut für Arzneimittel und Medizinprodukte in Nutzungsbedingungen, die dem Datennutzungsvertrag zu Grunde gelegt werden. Mit den Nutzungsbedingungen wird eine nicht missbräuchliche, nicht wettbewerbsverzerrende und manipulationsfreie Verwendung der Daten sichergestellt. Die Berechtigten nach Satz 1 haben zu gewährleisten, dass die Herkunft der Daten für Pflegebedürftige und alle anderen Nutzer der Informationen transparent bleibt. Dies gilt insbesondere, wenn eine Verwendung der Daten in Zusammenhang mit anderen Daten erfolgt. Das Bundesinstitut für Arzneimittel und Medizinprodukte veröffentlicht eine geeignete Schnittstelle auf Basis international anerkannter Standards und beantragt deren Aufnahme auf die Plattform nach § 385 Absatz 1 Satz 2 Nummer 5 des Fünften Buches Sozialgesetzbuch.</w:t>
      </w:r>
    </w:p>
    <w:p>
      <w:r>
        <w:t xml:space="preserve">(4) Das Bundesinstitut für Arzneimittel und Medizinprodukte veröffentlicht die im Verzeichnis für digitale Pflegeanwendungen enthaltenen Angaben nach § 19 Absatz 2 und 3 auf einem Webportal in einer für Pflegebedürftige und sonstige Nutzer intuitiv zugänglichen barrierefreien Struktur, Form und Darstellung.</w:t>
      </w:r>
    </w:p>
    <w:p>
      <w:r>
        <w:t xml:space="preserve">(5) Mit der Antragstellung gibt der Hersteller der digitalen Pflegeanwendung die unter § 19 Absatz 2 und 3 aufgeführten Angaben zur Veröffentlichung und zur freien Nutzung durch Dritte unter einer vom Bundesinstitut für Arzneimittel und Medizinprodukte festzulegenden Lizenz frei. Dies gilt, soweit nicht rechtliche Anforderungen an den Schutz der Betriebs- und Geschäftsgeheimnisse oder den Schutz personenbezogener Daten oder des geistigen Eigentums entgegenstehen und der Hersteller in den Antragsunterlagen die entsprechenden Angaben als solche gekennzeichnet sowie der Veröffentlichung aus diesem Grund ausdrücklich widersprochen hat.</w:t>
      </w:r>
    </w:p>
    <w:p>
      <w:r>
        <w:rPr>
          <w:color w:val="555555"/>
          <w:sz w:val="17"/>
        </w:rPr>
        <w:t xml:space="preserve">Zitiervorschlag: § 20 DiPAV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https://recht.nulegal.eu/gesetze/DiPAV/20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