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DiGAV — Fragebogen gemäß den §§ 5 und 6</w:t>
      </w:r>
    </w:p>
    <w:p>
      <w:r>
        <w:rPr>
          <w:color w:val="555555"/>
          <w:sz w:val="18"/>
        </w:rPr>
        <w:t xml:space="preserve">Digitale Gesundheitsanwendungen-Verordnung</w:t>
      </w:r>
    </w:p>
    <w:p>
      <w:r>
        <w:rPr>
          <w:color w:val="555555"/>
          <w:sz w:val="18"/>
        </w:rPr>
        <w:t xml:space="preserve">Stand: 01.02.2026 (konsolidierte Textfassung, kein amtliches Inkrafttretensdatum)</w:t>
      </w:r>
    </w:p>
    <w:p>
      <w:r>
        <w:t xml:space="preserve">(Fundstelle: BGBl. I 2020, 793 - 798; bzgl. der einzelnen Änderungen vgl. Fußnote)</w:t>
      </w:r>
    </w:p>
    <w:p>
      <w:r>
        <w:t xml:space="preserve">Im nachfolgend aufgeführten Fragenbogen ist durch den Hersteller die Erfüllung der Anforderungen nach den §§ 5 und 6 zu erklären. Der Hersteller bestätigt die Erfüllung der Anforderungen durch Kennzeichnung in der Spalte „zutreffend“ oder, sofern die dort jeweils genannte Begründung zutrifft, in der Spalte „nicht zutreffend“.</w:t>
      </w:r>
    </w:p>
    <w:p>
      <w:r>
        <w:rPr>
          <w:rFonts w:ascii="Courier New" w:hAnsi="Courier New"/>
          <w:sz w:val="17"/>
        </w:rPr>
        <w:t xml:space="preserve">Nr.    Vorschrift    Anforderung    zutreffend    nicht zutreffend    zulässige Begründung für „nicht zutreffend“</w:t>
      </w:r>
    </w:p>
    <w:p>
      <w:r>
        <w:rPr>
          <w:rFonts w:ascii="Courier New" w:hAnsi="Courier New"/>
          <w:sz w:val="17"/>
        </w:rPr>
        <w:t xml:space="preserve">Interoperabilität</w:t>
      </w:r>
    </w:p>
    <w:p>
      <w:r>
        <w:rPr>
          <w:rFonts w:ascii="Courier New" w:hAnsi="Courier New"/>
          <w:sz w:val="17"/>
        </w:rPr>
        <w:t xml:space="preserve">Kann der Versicherte die über digitale Gesundheitsanwendungen verarbeiteten Daten in einem interoperablen Format aus der digitalen Gesundheitsanwendung exportieren?            </w:t>
      </w:r>
    </w:p>
    <w:p>
      <w:r>
        <w:rPr>
          <w:rFonts w:ascii="Courier New" w:hAnsi="Courier New"/>
          <w:sz w:val="17"/>
        </w:rPr>
        <w:t xml:space="preserve">1.    § 5 Absatz 1 und § 6    Ja, die über die digitale Gesundheitsanwendung verarbeiteten Daten können durch den Versicherten aus der digitalen Gesundheitsanwendung in einem interoperablen Format (Syntax und Semantik) exportiert und dem Versicherten für die weitere Nutzung bereitgestellt werden. Die Übermittlung nach Satz 1 erfolgt gemäß einer Festlegung für die semantische und syntaktische Interoperabilität von Daten der elektronischen Patientenakte nach § 355 Absatz 2a des Fünften Buches Sozialgesetzbuch. Solange eine solche Festlegung nicht vorliegt, erfolgt die Übermittlung in einem offenen anerkannten internationalen Standard oder in einem vom Hersteller offen gelegten Profil über einen offenen anerkannten internationalen Standard.            </w:t>
      </w:r>
    </w:p>
    <w:p>
      <w:r>
        <w:rPr>
          <w:rFonts w:ascii="Courier New" w:hAnsi="Courier New"/>
          <w:sz w:val="17"/>
        </w:rPr>
        <w:t xml:space="preserve">Kann der Versicherte die über die digitale Gesundheitsanwendung verarbeiteten Daten in einer für die Versorgung nutzbaren Form aus der digitalen Gesundheitsanwendung exportieren?            </w:t>
      </w:r>
    </w:p>
    <w:p>
      <w:r>
        <w:rPr>
          <w:rFonts w:ascii="Courier New" w:hAnsi="Courier New"/>
          <w:sz w:val="17"/>
        </w:rPr>
        <w:t xml:space="preserve">2.    § 5 Absatz 1 und § 6    Ja, der Versicherte kann für seine Versorgung relevante Auszüge der über die digitale Gesundheitsanwendung verarbeiteten Gesundheitsdaten, insbesondere zu Therapieverläufen, Therapieplanungen, Therapieergebnissen und durchgeführten Datenauswertungen, aus der digitalen Gesundheitsanwendung exportieren. Der Export erfolgt in einem menschenlesbaren und ausdruckbaren Format und berücksichtigt den Versorgungskontext, in dem die digitale Gesundheitsanwendung gemäß ihrer Zweckbestimmung typischerweise zum Einsatz kommt.            </w:t>
      </w:r>
    </w:p>
    <w:p>
      <w:r>
        <w:rPr>
          <w:rFonts w:ascii="Courier New" w:hAnsi="Courier New"/>
          <w:sz w:val="17"/>
        </w:rPr>
        <w:t xml:space="preserve">Verfügt die digitale Gesundheitsanwendung über standardisierte Schnittstellen zu persönlichen Medizingeräten?            </w:t>
      </w:r>
    </w:p>
    <w:p>
      <w:r>
        <w:rPr>
          <w:rFonts w:ascii="Courier New" w:hAnsi="Courier New"/>
          <w:sz w:val="17"/>
        </w:rPr>
        <w:t xml:space="preserve">3.    § 5 Absatz 1 und § 6    Ja, die digitale Gesundheitsanwendung ist in der Lage, Daten aus vom Versicherten genutzten Medizingeräten oder vom Versicherten getragenen Sensoren zur Messung und Übertragung von Vitalwerten (Wearables) zu erfassen, und unterstützt hierzu ein offengelegtes und dokumentiertes Profil des ISO/IEEE 11073 Standards. Sofern ein solches geeignetes Profil nicht vorliegt, unterstützt die digitale Gesundheitsanwendung eine andere offengelegte und dokumentierte Schnittstelle (Syntax, Semantik), welche auf der Plattform nach § 385 Absatz 1 Satz 2 Nummer 5 des Fünften Buches Sozialgesetzbuch empfohlen ist. Sofern eine solche geeignete Schnittstelle nicht vorliegt, unterstützt die digitale Gesundheitsanwendung eine andere offengelegte und dokumentierte Schnittstelle, welche entweder auf der Plattform nach § 385 Absatz 1 Satz 2 Nummer 5 des Fünften Buches Sozialgesetzbuch gelistet ist oder für welche vom Hersteller ein entsprechender Antrag gestellt wurde?            Im Rahmen der bestimmungsgemäßen Nutzung der digitalen Gesundheitsanwendung ist nicht vorgesehen, dass die digitale Gesundheitsanwendung Daten mit vom Versicherten genutzten Medizingeräten oder mit vom Versicherten getragenen Sensoren zur Messung und Übertragung von Vitalwerten (Wearables) austauscht.</w:t>
      </w:r>
    </w:p>
    <w:p>
      <w:r>
        <w:rPr>
          <w:rFonts w:ascii="Courier New" w:hAnsi="Courier New"/>
          <w:sz w:val="17"/>
        </w:rPr>
        <w:t xml:space="preserve">Sind die für die Herstellung der Interoperabilität der digitalen Gesundheitsanwendung genutzten Standards und Profile veröffentlicht und können diskriminierungsfrei genutzt werden            </w:t>
      </w:r>
    </w:p>
    <w:p>
      <w:r>
        <w:rPr>
          <w:rFonts w:ascii="Courier New" w:hAnsi="Courier New"/>
          <w:sz w:val="17"/>
        </w:rPr>
        <w:t xml:space="preserve">4.    § 5 Absatz 1 und § 6    Ja, die für die Herstellung der Interoperabilität der digitalen Gesundheitsanwendung genutzten Standards und Profile sind vollständig veröffentlicht, auf der Anwendungswebseite verlinkt, können diskriminierungsfrei genutzt und von Dritten in ihren Systemen implementiert werden.            </w:t>
      </w:r>
    </w:p>
    <w:p>
      <w:r>
        <w:rPr>
          <w:rFonts w:ascii="Courier New" w:hAnsi="Courier New"/>
          <w:sz w:val="17"/>
        </w:rPr>
        <w:t xml:space="preserve">4a.    § 6    Ja, sofern der Hersteller eigene Profilierungen vorgenommen hat, sind diese in einem anerkannten Verzeichnis veröffentlicht.            Der Hersteller hat keine eigenen Profilierungen vorgenommen.</w:t>
      </w:r>
    </w:p>
    <w:p>
      <w:r>
        <w:rPr>
          <w:rFonts w:ascii="Courier New" w:hAnsi="Courier New"/>
          <w:sz w:val="17"/>
        </w:rPr>
        <w:t xml:space="preserve">Bietet die digitale Gesundheitsanwendung dem Versicherten geeignete Möglichkeiten für die Datenübertragung in die elektronische Patientenakte?            </w:t>
      </w:r>
    </w:p>
    <w:p>
      <w:r>
        <w:rPr>
          <w:rFonts w:ascii="Courier New" w:hAnsi="Courier New"/>
          <w:sz w:val="17"/>
        </w:rPr>
        <w:t xml:space="preserve">5.    § 6a    Ja, die digitale Gesundheitsanwendung ermöglicht es dem Versicherten die von der digitalen Gesundheitsanwendung verarbeiteten Daten mit seiner Einwilligung jederzeit in seine elektronische Patientenakte zu übermitteln. Zudem bietet die digitale Gesundheitsanwendung dem Nutzer die Möglichkeit einer regelmäßigen, automatisierten Übermittlung der von der digitalen Gesundheitsanwendung verarbeiteten Daten von der digitalen Gesundheitsanwendung in die elektronische Patientenakte. Der Hersteller ermöglicht dem Nutzer eine an den bestimmungsgemäßen Gebrauch der digitalen Gesundheitsanwendung sowie an den Versorgungskontext angepasste Konfiguration der regelmäßigen automatisierten Übermittlung. Der Hersteller beendet die Datenübertragung in die elektronische Patientenakte, sobald der Verordnungszeitraum und damit die Nutzung der digitalen Gesundheitsanwendung zu Lasten der gesetzlichen Krankenversicherung beendet ist, und weist den Versicherten vorab sowie zum entsprechenden Zeitpunkt darauf hin.            </w:t>
      </w:r>
    </w:p>
    <w:p>
      <w:r>
        <w:rPr>
          <w:rFonts w:ascii="Courier New" w:hAnsi="Courier New"/>
          <w:sz w:val="17"/>
        </w:rPr>
        <w:t xml:space="preserve">Robustheit</w:t>
      </w:r>
    </w:p>
    <w:p>
      <w:r>
        <w:rPr>
          <w:rFonts w:ascii="Courier New" w:hAnsi="Courier New"/>
          <w:sz w:val="17"/>
        </w:rPr>
        <w:t xml:space="preserve">Ist die digitale Gesundheitsanwendung robust gegen Störungen und Fehlbedienungen?            </w:t>
      </w:r>
    </w:p>
    <w:p>
      <w:r>
        <w:rPr>
          <w:rFonts w:ascii="Courier New" w:hAnsi="Courier New"/>
          <w:sz w:val="17"/>
        </w:rPr>
        <w:t xml:space="preserve">1.    § 5 Absatz 2    Ja, ein plötzlicher Ausfall der Stromversorgung führt nicht zu einem Verlust von Daten.            </w:t>
      </w:r>
    </w:p>
    <w:p>
      <w:r>
        <w:rPr>
          <w:rFonts w:ascii="Courier New" w:hAnsi="Courier New"/>
          <w:sz w:val="17"/>
        </w:rPr>
        <w:t xml:space="preserve">2.    § 5 Absatz 2    Ja, ein plötzlicher Ausfall der Internetverbindung führt nicht zu einem Verlust von Daten.            </w:t>
      </w:r>
    </w:p>
    <w:p>
      <w:r>
        <w:rPr>
          <w:rFonts w:ascii="Courier New" w:hAnsi="Courier New"/>
          <w:sz w:val="17"/>
        </w:rPr>
        <w:t xml:space="preserve">3.    § 5 Absatz 2    Ja, die digitale Gesundheitsanwendung prüft die Plausibilität von Messungen, Eingaben und anderen Daten aus externen Quellen.            Die digitale Gesundheitsanwendung ist nicht in der Lage, Daten aus Medizingeräten oder Sensoren oder aus anderen externen Quellen zu erfassen und sieht auch keine Eingabe von Daten vor.</w:t>
      </w:r>
    </w:p>
    <w:p>
      <w:r>
        <w:rPr>
          <w:rFonts w:ascii="Courier New" w:hAnsi="Courier New"/>
          <w:sz w:val="17"/>
        </w:rPr>
        <w:t xml:space="preserve">4.    § 5 Absatz 2    Ja, die digitale Gesundheitsanwendung beinhaltet Funktionen zum Testen und/oder zum Kalibrieren angebundener Medizingeräte und Sensoren.            Die digitale Gesundheitsanwendung ist nicht in der Lage, Daten aus Medizingeräten oder Sensoren zu erfassen.</w:t>
      </w:r>
    </w:p>
    <w:p>
      <w:r>
        <w:rPr>
          <w:rFonts w:ascii="Courier New" w:hAnsi="Courier New"/>
          <w:sz w:val="17"/>
        </w:rPr>
        <w:t xml:space="preserve">Verbraucherschutz</w:t>
      </w:r>
    </w:p>
    <w:p>
      <w:r>
        <w:rPr>
          <w:rFonts w:ascii="Courier New" w:hAnsi="Courier New"/>
          <w:sz w:val="17"/>
        </w:rPr>
        <w:t xml:space="preserve">Erhält der Nutzer der digitalen Gesundheitsanwendung alle Informationen, die er für eine Nutzungsentscheidung braucht, bevor Verpflichtungen gegenüber dem Hersteller oder einem Dritten eingegangen werden?            </w:t>
      </w:r>
    </w:p>
    <w:p>
      <w:r>
        <w:rPr>
          <w:rFonts w:ascii="Courier New" w:hAnsi="Courier New"/>
          <w:sz w:val="17"/>
        </w:rPr>
        <w:t xml:space="preserve">1.    § 5 Absatz 3    Ja, in den Informationen zur digitalen Gesundheitsanwendung auf der Vertriebsplattform oder auf der Anwendungswebseite ist der Funktionsumfang vollständig beschrieben und die medizinische Zweckbestimmung vollständig wiedergegeben.            </w:t>
      </w:r>
    </w:p>
    <w:p>
      <w:r>
        <w:rPr>
          <w:rFonts w:ascii="Courier New" w:hAnsi="Courier New"/>
          <w:sz w:val="17"/>
        </w:rPr>
        <w:t xml:space="preserve">2.    § 5 Absatz 3    Ja, in den Informationen zur digitalen Gesundheitsanwendung auf der Vertriebsplattform oder der Anwendungswebseite ist klar erkennbar, welche Leistungsmerkmale mit dem Download oder der Nutzung der Anwendung verfügbar sind und welche Leistungsmerkmale zu welchem Preis z. B. als In-App-Käufe oder Funktionserweiterungen hinzugekauft werden können bzw. müssen.            </w:t>
      </w:r>
    </w:p>
    <w:p>
      <w:r>
        <w:rPr>
          <w:rFonts w:ascii="Courier New" w:hAnsi="Courier New"/>
          <w:sz w:val="17"/>
        </w:rPr>
        <w:t xml:space="preserve">Wird die Kompatibilität der digitalen Gesundheitsanwendung zu Systemen und Geräten transparent kommuniziert?            </w:t>
      </w:r>
    </w:p>
    <w:p>
      <w:r>
        <w:rPr>
          <w:rFonts w:ascii="Courier New" w:hAnsi="Courier New"/>
          <w:sz w:val="17"/>
        </w:rPr>
        <w:t xml:space="preserve">3.    § 5 Absatz 3    Ja, der Hersteller der digitalen Gesundheitsanwendung veröffentlicht auf der Anwendungswebseite eine Liste mit Kompatibilitätszusagen bezüglich Betriebssystemversionen und mobilen Endgeräten bzw. Webbrowsern und Webbrowserversionen sowie in Bezug auf weitere erforderliche oder optional nutzbare Geräte und hält diese Liste beständig aktuell.            </w:t>
      </w:r>
    </w:p>
    <w:p>
      <w:r>
        <w:rPr>
          <w:rFonts w:ascii="Courier New" w:hAnsi="Courier New"/>
          <w:sz w:val="17"/>
        </w:rPr>
        <w:t xml:space="preserve">Veröffentlicht der Hersteller die medizinische Zweckbestimmung der digitalen Gesundheitsanwendung?            </w:t>
      </w:r>
    </w:p>
    <w:p>
      <w:r>
        <w:rPr>
          <w:rFonts w:ascii="Courier New" w:hAnsi="Courier New"/>
          <w:sz w:val="17"/>
        </w:rPr>
        <w:t xml:space="preserve">4.    § 5 Absatz 3    Ja, die medizinische Zweckbestimmung nach Artikel 2 Nummer 12 der Verordnung (EU) 2017/745 oder § 3 Nummer 10 des Medizinproduktegesetzes in der bis einschließlich 25. Mai 2020 geltenden Fassung ist im Impressum der digitalen Gesundheitsanwendung veröffentlicht.            </w:t>
      </w:r>
    </w:p>
    <w:p>
      <w:r>
        <w:rPr>
          <w:rFonts w:ascii="Courier New" w:hAnsi="Courier New"/>
          <w:sz w:val="17"/>
        </w:rPr>
        <w:t xml:space="preserve">Sind die Nutzungskonditionen der digitalen Gesundheitsanwendung verbraucherfreundlich gestaltet?            </w:t>
      </w:r>
    </w:p>
    <w:p>
      <w:r>
        <w:rPr>
          <w:rFonts w:ascii="Courier New" w:hAnsi="Courier New"/>
          <w:sz w:val="17"/>
        </w:rPr>
        <w:t xml:space="preserve">5.    § 5 Absatz 4    Ja, die digitale Gesundheitsanwendung ist werbefrei.            </w:t>
      </w:r>
    </w:p>
    <w:p>
      <w:r>
        <w:rPr>
          <w:rFonts w:ascii="Courier New" w:hAnsi="Courier New"/>
          <w:sz w:val="17"/>
        </w:rPr>
        <w:t xml:space="preserve">6.    § 5 Absatz 3    Ja, die digitale Gesundheitsanwendung enthält keine intransparenten Angebote wie z. B. sich automatisch verlängernde Abonnements oder zeitlich befristete Sonderangebote.            </w:t>
      </w:r>
    </w:p>
    <w:p>
      <w:r>
        <w:rPr>
          <w:rFonts w:ascii="Courier New" w:hAnsi="Courier New"/>
          <w:sz w:val="17"/>
        </w:rPr>
        <w:t xml:space="preserve">7.    § 5 Absatz 3    Ja, die digitale Gesundheitsanwendung enthält Maßnahmen zum Schutz vor unbeabsichtigten In-App-Käufen oder bietet keine In-App-Käufe an.            </w:t>
      </w:r>
    </w:p>
    <w:p>
      <w:r>
        <w:rPr>
          <w:rFonts w:ascii="Courier New" w:hAnsi="Courier New"/>
          <w:sz w:val="17"/>
        </w:rPr>
        <w:t xml:space="preserve">Setzt der Hersteller der digitalen Gesundheitsanwendung Maßnahmen zur Unterstützung der Nutzer um?            </w:t>
      </w:r>
    </w:p>
    <w:p>
      <w:r>
        <w:rPr>
          <w:rFonts w:ascii="Courier New" w:hAnsi="Courier New"/>
          <w:sz w:val="17"/>
        </w:rPr>
        <w:t xml:space="preserve">8.    § 5 Absatz 5    Ja, der Hersteller stellt einen kostenlosen deutschsprachigen Support zur Unterstützung der Nutzer bei der Bedienung der digitalen Gesundheitsanwendung zur Verfügung, der Anfragen der Nutzer spätestens innerhalb von 24 Stunden beantwortet.            </w:t>
      </w:r>
    </w:p>
    <w:p>
      <w:r>
        <w:rPr>
          <w:rFonts w:ascii="Courier New" w:hAnsi="Courier New"/>
          <w:sz w:val="17"/>
        </w:rPr>
        <w:t xml:space="preserve">Nutzerfreundlichkeit und Barrierefreiheit</w:t>
      </w:r>
    </w:p>
    <w:p>
      <w:r>
        <w:rPr>
          <w:rFonts w:ascii="Courier New" w:hAnsi="Courier New"/>
          <w:sz w:val="17"/>
        </w:rPr>
        <w:t xml:space="preserve">Ist die digitale Gesundheitsanwendung leicht und intuitiv nutzbar?            </w:t>
      </w:r>
    </w:p>
    <w:p>
      <w:r>
        <w:rPr>
          <w:rFonts w:ascii="Courier New" w:hAnsi="Courier New"/>
          <w:sz w:val="17"/>
        </w:rPr>
        <w:t xml:space="preserve">1.    § 5 Absatz 5    Ja, die Usability Styleguides der jeweiligen Plattform für mobile Anwendungen sind vollständig umgesetzt, oder es wurden alternative Lösungen umgesetzt, für die im Rahmen von Nutzertests eine besonders hohe Nutzerfreundlichkeit nachgewiesen werden konnte.            Die digitale Gesundheitsanwendung wird nicht über eine Plattform für mobile Anwendungen angeboten.</w:t>
      </w:r>
    </w:p>
    <w:p>
      <w:r>
        <w:rPr>
          <w:rFonts w:ascii="Courier New" w:hAnsi="Courier New"/>
          <w:sz w:val="17"/>
        </w:rPr>
        <w:t xml:space="preserve">2.    § 5 Absatz 5    Ja, die leichte und intuitive Nutzbarkeit der digitalen Gesundheitsanwendung wurde im Rahmen von Tests mit die Zielgruppe repräsentierenden Fokusgruppen bestätigt.            </w:t>
      </w:r>
    </w:p>
    <w:p>
      <w:r>
        <w:rPr>
          <w:rFonts w:ascii="Courier New" w:hAnsi="Courier New"/>
          <w:sz w:val="17"/>
        </w:rPr>
        <w:t xml:space="preserve">3.    § 5 Absatz 6    Ja, die digitale Gesundheitsanwendung bietet Bedienhilfen für Menschen mit Einschränkungen oder unterstützt die durch die Plattform angebotenen Bedienhilfen.            </w:t>
      </w:r>
    </w:p>
    <w:p>
      <w:r>
        <w:rPr>
          <w:rFonts w:ascii="Courier New" w:hAnsi="Courier New"/>
          <w:sz w:val="17"/>
        </w:rPr>
        <w:t xml:space="preserve">Unterstützung der Leistungserbringer</w:t>
      </w:r>
    </w:p>
    <w:p>
      <w:r>
        <w:rPr>
          <w:rFonts w:ascii="Courier New" w:hAnsi="Courier New"/>
          <w:sz w:val="17"/>
        </w:rPr>
        <w:t xml:space="preserve">Informiert und unterstützt die digitale Gesundheitsanwendung Ärzte und andere Leistungserbringer, die in die Nutzung mit eingebunden sind?            </w:t>
      </w:r>
    </w:p>
    <w:p>
      <w:r>
        <w:rPr>
          <w:rFonts w:ascii="Courier New" w:hAnsi="Courier New"/>
          <w:sz w:val="17"/>
        </w:rPr>
        <w:t xml:space="preserve">1.    § 5 Absatz 7    Ja, der Hersteller der digitalen Gesundheitsanwendung stellt Informationen für eingebundene Leistungserbringer bereit, in denen die ergänzende Nutzung der App durch einen Leistungserbringer und die zugrunde gelegten Rollen für Leistungserbringer und Patient verständlich beschrieben sind.            Für die Nutzung der digitalen Gesundheitsanwendung ist keine Einbindung von Leistungserbringern vorgesehen.</w:t>
      </w:r>
    </w:p>
    <w:p>
      <w:r>
        <w:rPr>
          <w:rFonts w:ascii="Courier New" w:hAnsi="Courier New"/>
          <w:sz w:val="17"/>
        </w:rPr>
        <w:t xml:space="preserve">2.    § 5 Absatz 7    Ja, der Hersteller der digitalen Gesundheitsanwendung stellt Informationen für eingebundene Leistungserbringer bereit, in denen beschrieben ist, wie den Versicherten die Nutzung der digitalen Gesundheitsanwendung im Rahmen der Therapie erläutert werden kann.            Für die Nutzung der digitalen Gesundheitsanwendung ist keine Einbindung von Leistungserbringern vorgesehen.</w:t>
      </w:r>
    </w:p>
    <w:p>
      <w:r>
        <w:rPr>
          <w:rFonts w:ascii="Courier New" w:hAnsi="Courier New"/>
          <w:sz w:val="17"/>
        </w:rPr>
        <w:t xml:space="preserve">3.    § 5 Absatz 7    Ja, der Nutzer kann einen eigenen Datenzugang für einzubeziehende Leistungserbringer freischalten bzw. Daten sicher an Leistungserbringer übermitteln.            Für die Nutzung der digitalen Gesundheitsanwendung ist keine Einbindung von Leistungserbringern vorgesehen.</w:t>
      </w:r>
    </w:p>
    <w:p>
      <w:r>
        <w:rPr>
          <w:rFonts w:ascii="Courier New" w:hAnsi="Courier New"/>
          <w:sz w:val="17"/>
        </w:rPr>
        <w:t xml:space="preserve">Qualität der medizinischen Inhalte</w:t>
      </w:r>
    </w:p>
    <w:p>
      <w:r>
        <w:rPr>
          <w:rFonts w:ascii="Courier New" w:hAnsi="Courier New"/>
          <w:sz w:val="17"/>
        </w:rPr>
        <w:t xml:space="preserve">Baut die digitale Gesundheitsanwendung auf gesichertem medizinischen Wissen auf und macht dieses transparent?            </w:t>
      </w:r>
    </w:p>
    <w:p>
      <w:r>
        <w:rPr>
          <w:rFonts w:ascii="Courier New" w:hAnsi="Courier New"/>
          <w:sz w:val="17"/>
        </w:rPr>
        <w:t xml:space="preserve">1.    § 5 Absatz 8    Ja, die in der digitalen Gesundheitsanwendung umgesetzten medizinischen Inhalte und Verfahren beruhen auf dem allgemein anerkannten fachlichen Standard.            </w:t>
      </w:r>
    </w:p>
    <w:p>
      <w:r>
        <w:rPr>
          <w:rFonts w:ascii="Courier New" w:hAnsi="Courier New"/>
          <w:sz w:val="17"/>
        </w:rPr>
        <w:t xml:space="preserve">2.    § 5 Absatz 8    Ja, der Hersteller hat geeignete Prozesse etabliert, um die in der digitalen Gesundheitsanwendung umgesetzten medizinischen Inhalte und Verfahren auf aktuellem Stand zu halten.            </w:t>
      </w:r>
    </w:p>
    <w:p>
      <w:r>
        <w:rPr>
          <w:rFonts w:ascii="Courier New" w:hAnsi="Courier New"/>
          <w:sz w:val="17"/>
        </w:rPr>
        <w:t xml:space="preserve">3.    § 5 Absatz 8    Ja, die Quellen für die in der digitalen Gesundheitsanwendung umgesetzten medizinischen Inhalte und Verfahren, beispielsweise Leitlinien, Lehrwerke und Studien, sind veröffentlicht und in der digitalen Gesundheitsanwendung oder auf einer aus der digitalen Gesundheitsanwendung heraus verlinkten Webseite benannt.            </w:t>
      </w:r>
    </w:p>
    <w:p>
      <w:r>
        <w:rPr>
          <w:rFonts w:ascii="Courier New" w:hAnsi="Courier New"/>
          <w:sz w:val="17"/>
        </w:rPr>
        <w:t xml:space="preserve">4.    § 5 Absatz 8    Ja, die Studien, die mit der digitalen Gesundheitsanwendung durchgeführt wurden, sind veröffentlicht und in der digitalen Gesundheitsanwendung oder auf einer aus der digitalen Gesundheitsanwendung heraus verlinkten Webseite benannt.            </w:t>
      </w:r>
    </w:p>
    <w:p>
      <w:r>
        <w:rPr>
          <w:rFonts w:ascii="Courier New" w:hAnsi="Courier New"/>
          <w:sz w:val="17"/>
        </w:rPr>
        <w:t xml:space="preserve">Sind die Gesundheitsinformationen, mit denen die digitale Gesundheitsanwendung den Nutzer unterstützt, geeignet?            </w:t>
      </w:r>
    </w:p>
    <w:p>
      <w:r>
        <w:rPr>
          <w:rFonts w:ascii="Courier New" w:hAnsi="Courier New"/>
          <w:sz w:val="17"/>
        </w:rPr>
        <w:t xml:space="preserve">5.    § 5 Absatz 8    Ja, die in der digitalen Gesundheitsanwendung angebotenen Gesundheitsinformationen sind aktuell und beruhen auf dem allgemein anerkannten fachlichen Standard.            Die digitale Gesundheitsanwendung bietet keine Gesundheitsinformationen an.</w:t>
      </w:r>
    </w:p>
    <w:p>
      <w:r>
        <w:rPr>
          <w:rFonts w:ascii="Courier New" w:hAnsi="Courier New"/>
          <w:sz w:val="17"/>
        </w:rPr>
        <w:t xml:space="preserve">6.    § 5 Absatz 8    Ja, der Hersteller hat geeignete Prozesse etabliert, um die in der digitalen Gesundheitsanwendung angebotenen Gesundheitsinformationen auf aktuellem Stand zu halten.            </w:t>
      </w:r>
    </w:p>
    <w:p>
      <w:r>
        <w:rPr>
          <w:rFonts w:ascii="Courier New" w:hAnsi="Courier New"/>
          <w:sz w:val="17"/>
        </w:rPr>
        <w:t xml:space="preserve">7.    § 5 Absatz 8    Ja, die Quellen für die in der digitalen Gesundheitsanwendung angebotenen Gesundheitsinformationen sind veröffentlicht und in der digitalen Gesundheitsanwendung oder auf einer aus der digitalen Gesundheitsanwendung heraus verlinkten Webseite benannt.            Die digitale Gesundheitsanwendung bietet keine Gesundheitsinformationen an.</w:t>
      </w:r>
    </w:p>
    <w:p>
      <w:r>
        <w:rPr>
          <w:rFonts w:ascii="Courier New" w:hAnsi="Courier New"/>
          <w:sz w:val="17"/>
        </w:rPr>
        <w:t xml:space="preserve">8.    § 5 Absatz 8    Ja, die in der digitalen Gesundheitsanwendung gegebenen Gesundheitsinformationen sind zielgruppengerecht aufbereitet.            Die digitale Gesundheitsanwendung bietet keine Gesundheitsinformationen an.</w:t>
      </w:r>
    </w:p>
    <w:p>
      <w:r>
        <w:rPr>
          <w:rFonts w:ascii="Courier New" w:hAnsi="Courier New"/>
          <w:sz w:val="17"/>
        </w:rPr>
        <w:t xml:space="preserve">9.    § 5 Absatz 8    Ja, die Gesundheitsinformationen werden anlassbezogen und im Kontext der jeweiligen Nutzung der digitalen Gesundheitsanwendung angeboten.            Die digitale Gesundheitsanwendung bietet keine Gesundheitsinformationen an.</w:t>
      </w:r>
    </w:p>
    <w:p>
      <w:r>
        <w:rPr>
          <w:rFonts w:ascii="Courier New" w:hAnsi="Courier New"/>
          <w:sz w:val="17"/>
        </w:rPr>
        <w:t xml:space="preserve">10.    § 5 Absatz 8    Ja, in der digitalen Gesundheitsanwendung werden didaktische Verfahren zur Vertiefung und Verstärkung des angebotenen Gesundheitswissens umgesetzt.            Die digitale Gesundheitsanwendung bietet keine Gesundheitsinformationen an.</w:t>
      </w:r>
    </w:p>
    <w:p>
      <w:r>
        <w:rPr>
          <w:rFonts w:ascii="Courier New" w:hAnsi="Courier New"/>
          <w:sz w:val="17"/>
        </w:rPr>
        <w:t xml:space="preserve">Patientensicherheit</w:t>
      </w:r>
    </w:p>
    <w:p>
      <w:r>
        <w:rPr>
          <w:rFonts w:ascii="Courier New" w:hAnsi="Courier New"/>
          <w:sz w:val="17"/>
        </w:rPr>
        <w:t xml:space="preserve">Setzt der Hersteller geeignete Maßnahmen zur Verbesserung der Patientensicherheit um?            </w:t>
      </w:r>
    </w:p>
    <w:p>
      <w:r>
        <w:rPr>
          <w:rFonts w:ascii="Courier New" w:hAnsi="Courier New"/>
          <w:sz w:val="17"/>
        </w:rPr>
        <w:t xml:space="preserve">1.    § 5 Absatz 9    Ja, der Hersteller stellt bereits auf der Vertriebsplattform bzw. vor dem Start der Webanwendung deutlich heraus, für welche Nutzer und Indikationen die digitale Gesundheitsanwendung nicht verwendet werden soll, sofern hier Einschränkungen vorliegen.            </w:t>
      </w:r>
    </w:p>
    <w:p>
      <w:r>
        <w:rPr>
          <w:rFonts w:ascii="Courier New" w:hAnsi="Courier New"/>
          <w:sz w:val="17"/>
        </w:rPr>
        <w:t xml:space="preserve">2.    § 5 Absatz 9    Ja, in der digitalen Gesundheitsanwendung werden dem Nutzer kontextsensitive Hinweise auf Risiken gegeben sowie Hinweise auf geeignete Maßnahmen zu deren Abschwächung oder Vermeidung.            </w:t>
      </w:r>
    </w:p>
    <w:p>
      <w:r>
        <w:rPr>
          <w:rFonts w:ascii="Courier New" w:hAnsi="Courier New"/>
          <w:sz w:val="17"/>
        </w:rPr>
        <w:t xml:space="preserve">3.    § 5 Absatz 9    Ja, im Kontext von kritischen Messwerten oder Analyseergebnissen wird in der digitalen Gesundheitsanwendung deutlich auf das Erfordernis oder die Sinnhaftigkeit der Rücksprache mit einem Arzt oder einem anderen Leistungserbringer hingewiesen.            </w:t>
      </w:r>
    </w:p>
    <w:p>
      <w:r>
        <w:rPr>
          <w:rFonts w:ascii="Courier New" w:hAnsi="Courier New"/>
          <w:sz w:val="17"/>
        </w:rPr>
        <w:t xml:space="preserve">4.    § 5 Absatz 9    Ja, die digitale Gesundheitsanwendung empfiehlt dem Nutzer bei Feststellung eines definierten Zustands einen Abbruch der Nutzung der App bzw. eine Veränderung in der Nutzung der App.            </w:t>
      </w:r>
    </w:p>
    <w:p>
      <w:r>
        <w:rPr>
          <w:rFonts w:ascii="Courier New" w:hAnsi="Courier New"/>
          <w:sz w:val="17"/>
        </w:rPr>
        <w:t xml:space="preserve">5.    § 5 Absatz 9    Ja, für alle vom Nutzer eingegebenen oder über die angebundenen Medizingeräte oder Sensoren erhobenen oder aus sonstigen externen Quellen übernommenen Werte sind in der digitalen Gesundheitsanwendung Konsistenzbedingungen definiert, die vor der Verwendung eines Werts abgeprüft werden.            </w:t>
      </w:r>
    </w:p>
    <w:p>
      <w:r>
        <w:rPr>
          <w:rFonts w:ascii="Courier New" w:hAnsi="Courier New"/>
          <w:sz w:val="17"/>
        </w:rPr>
        <w:t xml:space="preserve">6.    § 5 Absatz 9    Ja, Fehlermeldungen sind in der digitalen Gesundheitsanwendung so gestaltet, dass der Nutzer verstehen kann, wo der Fehler lag und wie er selbst dazu beitragen kann, diesen zukünftig zu vermeiden.            </w:t>
      </w:r>
    </w:p>
    <w:p>
      <w:r>
        <w:rPr>
          <w:color w:val="555555"/>
          <w:sz w:val="17"/>
        </w:rPr>
        <w:t xml:space="preserve">Zitiervorschlag: Anlage 2 DiGAV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https://recht.nulegal.eu/gesetze/DiGAV/anlage-2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