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DiGAV — Interoperabilität von digitalen Gesundheitsanwendungen mit der elektronischen Patientenakte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(1) Digitale Gesundheitsanwendungen sind so zu gestalten, dass die von der digitalen Gesundheitsanwendung verarbeiteten Daten mit Einwilligung des Versicherten in die elektronische Patientenakte des Versicherten nach § 341 des Fünften Buches Sozialgesetzbuch übermittelt werden können. Hierzu muss die digitale Gesundheitsanwendung über die von der Gesellschaft für Telematik nach § 354 Absatz 2 Nummer 6 des Fünften Buches Sozialgesetzbuch für den Datenaustausch festgelegte Schnittstelle verfügen.</w:t>
      </w:r>
    </w:p>
    <w:p>
      <w:r>
        <w:t xml:space="preserve">(2) Digitale Gesundheitsanwendungen ermöglichen den Datenexport in die elektronische Patientenakte in einem menschenlesbaren Format sowie gemäß einer Festlegung für die semantische und syntaktische Interoperabilität von Daten der elektronischen Patientenakte nach § 355 Absatz 2a des Fünften Buches Sozialgesetzbuch.</w:t>
      </w:r>
    </w:p>
    <w:p>
      <w:r>
        <w:t xml:space="preserve">(3) Die Hersteller digitaler Gesundheitsanwendungen setzen die Fortschreibungen der Festlegungen nach § 355 Absatz 2a des Fünften Buches Sozialgesetzbuch innerhalb von sechs Monaten nach deren Veröffentlichung um.</w:t>
      </w:r>
    </w:p>
    <w:p>
      <w:r>
        <w:rPr>
          <w:color w:val="555555"/>
          <w:sz w:val="17"/>
        </w:rPr>
        <w:t xml:space="preserve">Zitiervorschlag: § 6a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