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DiGAV — Vorlagepflicht</w:t>
      </w:r>
    </w:p>
    <w:p>
      <w:r>
        <w:rPr>
          <w:color w:val="555555"/>
          <w:sz w:val="18"/>
        </w:rPr>
        <w:t xml:space="preserve">Digitale Gesundheitsanwendungen-Verordnung</w:t>
      </w:r>
    </w:p>
    <w:p>
      <w:r>
        <w:rPr>
          <w:color w:val="555555"/>
          <w:sz w:val="18"/>
        </w:rPr>
        <w:t xml:space="preserve">Stand: 21.04.2020 (konsolidierte Textfassung, kein amtliches Inkrafttretensdatum)</w:t>
      </w:r>
    </w:p>
    <w:p>
      <w:r>
        <w:t xml:space="preserve">Auf Verlangen der Schiedsstelle haben die Vertragsparteien der Schiedsstelle die für die Entscheidung erforderlichen Unterlagen vorzulegen.</w:t>
      </w:r>
    </w:p>
    <w:p>
      <w:r>
        <w:rPr>
          <w:color w:val="555555"/>
          <w:sz w:val="17"/>
        </w:rPr>
        <w:t xml:space="preserve">Zitiervorschlag: § 40 DiGAV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https://recht.nulegal.eu/gesetze/DiGAV/40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