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DiGAV — Abberufung und Amtsniederlegung</w:t>
      </w:r>
    </w:p>
    <w:p>
      <w:r>
        <w:rPr>
          <w:color w:val="555555"/>
          <w:sz w:val="18"/>
        </w:rPr>
        <w:t xml:space="preserve">Digitale Gesundheitsanwendungen-Verordnung</w:t>
      </w:r>
    </w:p>
    <w:p>
      <w:r>
        <w:rPr>
          <w:color w:val="555555"/>
          <w:sz w:val="18"/>
        </w:rPr>
        <w:t xml:space="preserve">Stand: 21.04.2020 (konsolidierte Textfassung, kein amtliches Inkrafttretensdatum)</w:t>
      </w:r>
    </w:p>
    <w:p>
      <w:r>
        <w:t xml:space="preserve">(1) Das Bundesministerium für Gesundheit kann Mitglieder der Schiedsstelle und ihre Stellvertreter auf Antrag einer Vertragspartei aus wichtigem Grund abberufen. Die beteiligten Verbände sind vorher zu hören.</w:t>
      </w:r>
    </w:p>
    <w:p>
      <w:r>
        <w:t xml:space="preserve">(2) Legen die Mitglieder der Schiedsstelle ihr Amt nieder, haben sie dies den für die Benennung zuständigen Verbänden oder Vertragsparteien, dem Vorsitzenden der Schiedsstelle sowie dem Bundesministerium für Gesundheit zu erklären.</w:t>
      </w:r>
    </w:p>
    <w:p>
      <w:r>
        <w:t xml:space="preserve">(3) Für die Bestellung von Mitgliedern der Schiedsstelle und ihren Stellvertretern in der Nachfolge von während einer Amtsperiode Ausgeschiedenen gilt § 134 Absatz 3 Satz 4 und 5 des Fünften Buches Sozialgesetzbuch entsprechend.</w:t>
      </w:r>
    </w:p>
    <w:p>
      <w:r>
        <w:rPr>
          <w:color w:val="555555"/>
          <w:sz w:val="17"/>
        </w:rPr>
        <w:t xml:space="preserve">Zitiervorschlag: § 36 DiGAV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https://recht.nulegal.eu/gesetze/DiGAV/36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