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DiGAV — Amtsperiode</w:t>
      </w:r>
    </w:p>
    <w:p>
      <w:r>
        <w:rPr>
          <w:color w:val="555555"/>
          <w:sz w:val="18"/>
        </w:rPr>
        <w:t xml:space="preserve">Digitale Gesundheitsanwendungen-Verordnung</w:t>
      </w:r>
    </w:p>
    <w:p>
      <w:r>
        <w:rPr>
          <w:color w:val="555555"/>
          <w:sz w:val="18"/>
        </w:rPr>
        <w:t xml:space="preserve">Stand: 21.04.2020 (konsolidierte Textfassung, kein amtliches Inkrafttretensdatum)</w:t>
      </w:r>
    </w:p>
    <w:p>
      <w:r>
        <w:t xml:space="preserve">(1) Die Amtsdauer der Mitglieder der Schiedsstelle beträgt vier Jahre. Die Amtsdauer der während einer Amtsperiode neu bestellten Mitglieder der Schiedsstelle endet mit dem Ablauf dieser Amtsperiode.</w:t>
      </w:r>
    </w:p>
    <w:p>
      <w:r>
        <w:t xml:space="preserve">(2) Abweichend von Absatz 1 endet die Amtsdauer der nach § 134 Absatz 3 Satz 2 des Fünften Buches Sozialgesetzbuch von den Krankenkassen und den Herstellern digitaler Gesundheitsanwendungen benannten Mitglieder der Schiedsstelle mit Wirksamwerden des Schiedsspruchs.</w:t>
      </w:r>
    </w:p>
    <w:p>
      <w:r>
        <w:rPr>
          <w:color w:val="555555"/>
          <w:sz w:val="17"/>
        </w:rPr>
        <w:t xml:space="preserve">Zitiervorschlag: § 35 DiGAV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https://recht.nulegal.eu/gesetze/DiGAV/35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