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DiGAV — Zusammensetzung der Schiedsstelle und Bestellung der Mitglieder der Schiedsstelle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01.02.2026 (konsolidierte Textfassung, kein amtliches Inkrafttretensdatum)</w:t>
      </w:r>
    </w:p>
    <w:p>
      <w:r>
        <w:t xml:space="preserve">(1) Die Verbände nach § 134 Absatz 3 Satz 1 des Fünften Buches Sozialgesetzbuch teilen die Benennung der Mitglieder der Schiedsstelle nach § 134 Absatz 3 Satz 2 bis 4 des Fünften Buches Sozialgesetzbuch der Geschäftsstelle nach § 38 mit.</w:t>
      </w:r>
    </w:p>
    <w:p>
      <w:r>
        <w:t xml:space="preserve">(2) Die Mitglieder der Schiedsstelle sind benannt, sobald sie gegenüber den beteiligten Verbänden nach § 134 Absatz 3 Satz 1 des Fünften Buches Sozialgesetzbuch die Bereitschaft zur Amtsübernahme erklärt haben.</w:t>
      </w:r>
    </w:p>
    <w:p>
      <w:r>
        <w:t xml:space="preserve">(3) Die Mitglieder der Schiedsstelle sind bestellt, sobald die Verbände nach § 134 Absatz 3 Satz 1 des Fünften Buches Sozialgesetzbuch die Benennung der Mitglieder dem Bundesministerium für Gesundheit mitgeteilt haben. Die Verbände nach § 134 Absatz 3 Satz 1 des Fünften Buches Sozialgesetzbuch teilen dem Bundesministerium für Gesundheit die Benennung spätestens einen Monat vor Ablauf der jeweils laufenden Amtsperiode mit.</w:t>
      </w:r>
    </w:p>
    <w:p>
      <w:r>
        <w:t xml:space="preserve">(4) Für das Amt des unparteiischen Vorsitzenden und der zwei weiteren unparteiischen Mitglieder der Schiedsstelle sind mindestens ein Mann und eine Frau zu benennen. Satz 1 gilt für die Benennung der Stellvertreter entsprechend.</w:t>
      </w:r>
    </w:p>
    <w:p>
      <w:r>
        <w:rPr>
          <w:color w:val="555555"/>
          <w:sz w:val="17"/>
        </w:rPr>
        <w:t xml:space="preserve">Zitiervorschlag: § 34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