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DiGAV — Auslagen</w:t>
      </w:r>
    </w:p>
    <w:p>
      <w:r>
        <w:rPr>
          <w:color w:val="555555"/>
          <w:sz w:val="18"/>
        </w:rPr>
        <w:t xml:space="preserve">Digitale Gesundheitsanwendungen-Verordnung</w:t>
      </w:r>
    </w:p>
    <w:p>
      <w:r>
        <w:rPr>
          <w:color w:val="555555"/>
          <w:sz w:val="18"/>
        </w:rPr>
        <w:t xml:space="preserve">Stand: 21.04.2020 (konsolidierte Textfassung, kein amtliches Inkrafttretensdatum)</w:t>
      </w:r>
    </w:p>
    <w:p>
      <w:r>
        <w:t xml:space="preserve">Für die Erstattung von Auslagen gilt § 12 Absatz 1 des Bundesgebührengesetzes entsprechend.</w:t>
      </w:r>
    </w:p>
    <w:p>
      <w:r>
        <w:rPr>
          <w:color w:val="555555"/>
          <w:sz w:val="17"/>
        </w:rPr>
        <w:t xml:space="preserve">Zitiervorschlag: § 31 DiGAV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https://recht.nulegal.eu/gesetze/DiGAV/31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