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DiGAV — Gebühr für Beratungen</w:t>
      </w:r>
    </w:p>
    <w:p>
      <w:r>
        <w:rPr>
          <w:color w:val="555555"/>
          <w:sz w:val="18"/>
        </w:rPr>
        <w:t xml:space="preserve">Digitale Gesundheitsanwendungen-Verordnung</w:t>
      </w:r>
    </w:p>
    <w:p>
      <w:r>
        <w:rPr>
          <w:color w:val="555555"/>
          <w:sz w:val="18"/>
        </w:rPr>
        <w:t xml:space="preserve">Stand: 21.04.2020 (konsolidierte Textfassung, kein amtliches Inkrafttretensdatum)</w:t>
      </w:r>
    </w:p>
    <w:p>
      <w:r>
        <w:t xml:space="preserve">(1) Die Gebühr für die Beratung des Herstellers digitaler Gesundheitsanwendungen nach § 139e Absatz 8 Satz 2 des Fünften Buches Sozialgesetzbuch beträgt mindestens 250 und höchstens 5 000 Euro.</w:t>
      </w:r>
    </w:p>
    <w:p>
      <w:r>
        <w:t xml:space="preserve">(2) Im Umfang geringfügige allgemeine mündliche, schriftliche oder elektronische Auskünfte sind hiervon ausgenommen.</w:t>
      </w:r>
    </w:p>
    <w:p>
      <w:r>
        <w:rPr>
          <w:color w:val="555555"/>
          <w:sz w:val="17"/>
        </w:rPr>
        <w:t xml:space="preserve">Zitiervorschlag: § 27 DiGAV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https://recht.nulegal.eu/gesetze/DiGAV/27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