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23c DiGAV — Dauer und Häufigkeit der Nutzung</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(1) Die Ergebnisse der anwendungsbegleitenden Erfolgsmessung zur Dauer und Häufigkeit der Nutzung umfassen die Auswertung der von dem Beginn der Nutzung bis zum Ende der Anwendungsdauer erhobenen Daten</w:t>
      </w:r>
    </w:p>
    <w:p>
      <w:pPr>
        <w:ind w:left="420"/>
      </w:pPr>
      <w:r>
        <w:t xml:space="preserve">1. zum Nutzungsumfang,</w:t>
      </w:r>
    </w:p>
    <w:p>
      <w:pPr>
        <w:ind w:left="420"/>
      </w:pPr>
      <w:r>
        <w:t xml:space="preserve">2. zur Nutzungshäufigkeit und</w:t>
      </w:r>
    </w:p>
    <w:p>
      <w:pPr>
        <w:ind w:left="420"/>
      </w:pPr>
      <w:r>
        <w:t xml:space="preserve">3. zum Abbruch der Nutzung.</w:t>
      </w:r>
    </w:p>
    <w:p>
      <w:r>
        <w:t xml:space="preserve">Der Beginn der Nutzung ist der Zeitpunkt, zu dem der Nutzer eine digitale Gesundheitsanwendung erstmals aufgrund einer Verordnung oder in Folge einer Genehmigung genutzt hat. Das Ende der Anwendungsdauer ist der Zeitpunkt der Beendigung der Nutzung einer digitalen Gesundheitsanwendung nach Ablauf des jeweiligen Verordnungs- oder Genehmigungszeitraums. Für digitale Gesundheitsanwendungen mit einer Anwendungsdauer von mehr als 90 Tagen sind die Daten für 90 Tage zu ermitteln.</w:t>
      </w:r>
    </w:p>
    <w:p>
      <w:r>
        <w:t xml:space="preserve">(2) Der Nutzungsumfang umfasst die durchschnittliche Zeit der Nutzung einer digitalen Gesundheitsanwendung durch die Nutzer für den Zeitraum einer jeden Woche in Minuten im Zeitraum von dem Beginn der Nutzung bis zum Ende der Anwendungsdauer. Zu berücksichtigen sind auch die Daten zum Nutzungsumfang von Nutzern, die die Nutzung abgebrochen haben.</w:t>
      </w:r>
    </w:p>
    <w:p>
      <w:r>
        <w:t xml:space="preserve">(3) Die Nutzungshäufigkeit umfasst die durchschnittliche Anzahl der Nutzungsvorgänge einer digitalen Gesundheitsanwendung durch die Nutzer für den Zeitraum einer jeden Woche von dem Beginn der Nutzung bis zum Ende der Anwendungsdauer. Absatz 2 Satz 2 gilt entsprechend.</w:t>
      </w:r>
    </w:p>
    <w:p>
      <w:r>
        <w:t xml:space="preserve">(4) Der Abbruch der Nutzung ist die vorzeitige Beendigung der Nutzung einer digitalen Gesundheitsanwendung durch die Nutzer. Beträgt die Anwendungsdauer einer digitalen Gesundheitsanwendung 90 Tage oder mehr als 90 Tage, ist vom Abbruch der Nutzung auszugehen, wenn eine Nutzung für die ununterbrochene Dauer von drei Wochen unterblieben ist. Beträgt die Anwendungsdauer weniger als 90 Tage, ist von einem Abbruch der Nutzung auszugehen, wenn eine Nutzung für die ununterbrochene Dauer von 25 Prozent der Anwendungsdauer nicht erfolgt ist. Vom Abbruch der Nutzung ist auch dann auszugehen, wenn die Nutzung nach Ablauf der in Satz 2 und 3 genannten Zeiträume wieder aufgenommen wird.</w:t>
      </w:r>
    </w:p>
    <w:p>
      <w:r>
        <w:t xml:space="preserve">(5) Für die Meldung der Ergebnisse der anwendungsbegleitenden Erfolgsmessung zum Abbruch der Nutzung sind für jede digitale Gesundheitsanwendung anzugeben:</w:t>
      </w:r>
    </w:p>
    <w:p>
      <w:pPr>
        <w:ind w:left="420"/>
      </w:pPr>
      <w:r>
        <w:t xml:space="preserve">1. die Gesamtzahl der Nutzer, die die Nutzung abgebrochen haben,</w:t>
      </w:r>
    </w:p>
    <w:p>
      <w:pPr>
        <w:ind w:left="420"/>
      </w:pPr>
      <w:r>
        <w:t xml:space="preserve">2. die Quote der Nutzer, die die Nutzung abgebrochen haben, im Verhältnis zur Gesamtzahl der Nutzer,</w:t>
      </w:r>
    </w:p>
    <w:p>
      <w:pPr>
        <w:ind w:left="420"/>
      </w:pPr>
      <w:r>
        <w:t xml:space="preserve">3. die Verteilung der Nutzungsabbrüche auf die Wochen der Anwendungsdauer,</w:t>
      </w:r>
    </w:p>
    <w:p>
      <w:pPr>
        <w:ind w:left="420"/>
      </w:pPr>
      <w:r>
        <w:t xml:space="preserve">4. die Gesamtzahl der Nutzer, die eine digitale Gesundheitsanwendung für die gesamte Anwendungsdauer genutzt haben,</w:t>
      </w:r>
    </w:p>
    <w:p>
      <w:pPr>
        <w:ind w:left="420"/>
      </w:pPr>
      <w:r>
        <w:t xml:space="preserve">5. die Quote der Nutzer, die eine digitale Gesundheitsanwendung für die gesamte Anwendungsdauer genutzt haben, und</w:t>
      </w:r>
    </w:p>
    <w:p>
      <w:pPr>
        <w:ind w:left="420"/>
      </w:pPr>
      <w:r>
        <w:t xml:space="preserve">6. die Anzahl der Tage, die durchschnittlich bis zum Abbruch der Nutzung vergangen sind.</w:t>
      </w:r>
    </w:p>
    <w:p>
      <w:r>
        <w:t xml:space="preserve">Das Nähere zu den Inhalten der Meldung bestimmt sich nach Anlage 4.</w:t>
      </w:r>
    </w:p>
    <w:p>
      <w:r>
        <w:t xml:space="preserve">(6) Das Bundesinstitut für Arzneimittel und Medizinprodukte prüft die von dem Hersteller der digitalen Gesundheitsanwendung gemeldeten Ergebnisse der anwendungsbegleitenden Erfolgsmessung zur Dauer und Häufigkeit der Nutzung auf Plausibilität. Ergeben sich bei den Prüfungen nach Satz 1 Unstimmigkeiten oder Nachfragen, so kann das Bundesinstitut für Arzneimittel und Medizinprodukte von dem Hersteller der digitalen Gesundheitsanwendung die Vorlage weiterer Informationen verlangen.</w:t>
      </w:r>
    </w:p>
    <w:p>
      <w:r>
        <w:rPr>
          <w:color w:val="555555"/>
          <w:sz w:val="17"/>
        </w:rPr>
        <w:t xml:space="preserve">Zitiervorschlag: § 23c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https://recht.nulegal.eu/gesetze/DiGAV/23c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