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DiGAV — Allgemeine Vorschriften</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Das Bundesinstitut für Arzneimittel und Medizinprodukte bestätigt dem Antragsteller innerhalb von 21 Tagen den Eingang der vollständigen Antragsunterlagen. Eine Änderung oder Ergänzung der Antragsangaben ist nach Antragstellung nur noch auf Anforderung des Bundesinstituts für Arzneimittel und Medizinprodukte möglich.</w:t>
      </w:r>
    </w:p>
    <w:p>
      <w:r>
        <w:t xml:space="preserve">(2) Legt der Hersteller unvollständige Antragsunterlagen vor, fordert ihn das Bundesinstitut für Arzneimittel und Medizinprodukte unter Nennung der fehlenden Unterlagen und Angaben auf, den Antrag innerhalb einer Frist von bis zu drei Monaten zu ergänzen. Liegen nach Ablauf der Frist keine vollständigen Antragsunterlagen vor, hat das Bundesinstitut für Arzneimittel und Medizinprodukte den Antrag durch Bescheid abzulehnen.</w:t>
      </w:r>
    </w:p>
    <w:p>
      <w:r>
        <w:rPr>
          <w:color w:val="555555"/>
          <w:sz w:val="17"/>
        </w:rPr>
        <w:t xml:space="preserve">Zitiervorschlag: § 16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