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DiGAV — Begründung der Versorgungsverbesserung</w:t>
      </w:r>
    </w:p>
    <w:p>
      <w:r>
        <w:rPr>
          <w:color w:val="555555"/>
          <w:sz w:val="18"/>
        </w:rPr>
        <w:t xml:space="preserve">Digitale Gesundheitsanwendungen-Verordnung</w:t>
      </w:r>
    </w:p>
    <w:p>
      <w:r>
        <w:rPr>
          <w:color w:val="555555"/>
          <w:sz w:val="18"/>
        </w:rPr>
        <w:t xml:space="preserve">Stand: 21.04.2020 (konsolidierte Textfassung, kein amtliches Inkrafttretensdatum)</w:t>
      </w:r>
    </w:p>
    <w:p>
      <w:r>
        <w:t xml:space="preserve">Für einen Antrag nach § 139e Absatz 4 des Fünften Buches Sozialgesetzbuch hat der Hersteller zur plausiblen Begründung, dass im Rahmen einer Erprobung ein positiver Versorgungseffekt nachgewiesen werden kann, mindestens die Ergebnisse einer systematischen Datenauswertung zur Nutzung der digitalen Gesundheitsanwendung vorzulegen.</w:t>
      </w:r>
    </w:p>
    <w:p>
      <w:r>
        <w:rPr>
          <w:color w:val="555555"/>
          <w:sz w:val="17"/>
        </w:rPr>
        <w:t xml:space="preserve">Zitiervorschlag: § 14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