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11b DiGAV — Studien zum Nachweis des Erhalts der Erwerbsfähigkeit</w:t>
      </w:r>
    </w:p>
    <w:p>
      <w:r>
        <w:rPr>
          <w:color w:val="555555"/>
          <w:sz w:val="18"/>
        </w:rPr>
        <w:t xml:space="preserve">Digitale Gesundheitsanwendungen-Verordnung</w:t>
      </w:r>
    </w:p>
    <w:p>
      <w:r>
        <w:rPr>
          <w:color w:val="555555"/>
          <w:sz w:val="18"/>
        </w:rPr>
        <w:t xml:space="preserve">Stand: 01.02.2026 (konsolidierte Textfassung, kein amtliches Inkrafttretensdatum)</w:t>
      </w:r>
    </w:p>
    <w:p>
      <w:r>
        <w:t xml:space="preserve">Für den Nachweis des Erhalts der Erwerbsfähigkeit gelten die Regelungen der §§ 9 bis 11 und 13 bis 15 entsprechend.</w:t>
      </w:r>
    </w:p>
    <w:p>
      <w:r>
        <w:rPr>
          <w:color w:val="555555"/>
          <w:sz w:val="17"/>
        </w:rPr>
        <w:t xml:space="preserve">Zitiervorschlag: § 11b DiGAV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https://recht.nulegal.eu/gesetze/DiGAV/11b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