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11a DiGAV — Studien zum Nachweis des medizinischen Nutzens bei digitalen Gesundheitsanwendungen höherer Risikoklasse</w:t>
      </w:r>
    </w:p>
    <w:p>
      <w:r>
        <w:rPr>
          <w:color w:val="555555"/>
          <w:sz w:val="18"/>
        </w:rPr>
        <w:t xml:space="preserve">Digitale Gesundheitsanwendungen-Verordnung</w:t>
      </w:r>
    </w:p>
    <w:p>
      <w:r>
        <w:rPr>
          <w:color w:val="555555"/>
          <w:sz w:val="18"/>
        </w:rPr>
        <w:t xml:space="preserve">Stand: 27.03.2024 (konsolidierte Textfassung, kein amtliches Inkrafttretensdatum)</w:t>
      </w:r>
    </w:p>
    <w:p>
      <w:r>
        <w:t xml:space="preserve">(1) Abweichend von § 10 Absatz 1 legt der Hersteller zum Nachweis des medizinischen Nutzens bei digitalen Gesundheitsanwendungen höherer Risikoklasse eine prospektive Vergleichsstudie vor.</w:t>
      </w:r>
    </w:p>
    <w:p>
      <w:r>
        <w:t xml:space="preserve">(2) § 10 Absatz 5 bis 7 gilt entsprechend.</w:t>
      </w:r>
    </w:p>
    <w:p>
      <w:r>
        <w:rPr>
          <w:color w:val="555555"/>
          <w:sz w:val="17"/>
        </w:rPr>
        <w:t xml:space="preserve">Zitiervorschlag: § 11a DiGAV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https://recht.nulegal.eu/gesetze/DiGAV/11a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