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DiätenG</w:t>
      </w:r>
    </w:p>
    <w:p>
      <w:r>
        <w:rPr>
          <w:color w:val="555555"/>
          <w:sz w:val="18"/>
        </w:rPr>
        <w:t xml:space="preserve">Diätengesetz 1968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Entsprechend der Aufwandsentschädigungen nach § 1 erhalten die Mitglieder des Bundestages als weitere Aufwandsentschädigungen</w:t>
      </w:r>
    </w:p>
    <w:p>
      <w:pPr>
        <w:ind w:left="420"/>
      </w:pPr>
      <w:r>
        <w:t xml:space="preserve">1. Kostenpauschalen zur Abgeltung von Bürokosten und Kostenersatz für die Beschäftigung von Mitarbeitern,</w:t>
      </w:r>
    </w:p>
    <w:p>
      <w:pPr>
        <w:ind w:left="420"/>
      </w:pPr>
      <w:r>
        <w:t xml:space="preserve">2. Tagegeldpauschalen zur Abgeltung von Aufwendungen, die mit der Tätigkeit als Mitglied des Bundestages zusammenhängen und nicht durch das Kostenpauschale nach Nummer 1 oder das Reisekostenpauschale nach Nummer 3 abgegolten sind,</w:t>
      </w:r>
    </w:p>
    <w:p>
      <w:pPr>
        <w:ind w:left="420"/>
      </w:pPr>
      <w:r>
        <w:t xml:space="preserve">3. Reisekostenpauschalen zusätzlich zu den Rechten nach § 17 Abs. 1.</w:t>
      </w:r>
    </w:p>
    <w:p>
      <w:r>
        <w:t xml:space="preserve">(2) Das Nähere regelt der Ältestenrat des Bundestages nach Maßgabe des Haushaltsgesetzes (Bundeshaushaltsplan).</w:t>
      </w:r>
    </w:p>
    <w:p>
      <w:r>
        <w:rPr>
          <w:color w:val="555555"/>
          <w:sz w:val="17"/>
        </w:rPr>
        <w:t xml:space="preserve">Zitiervorschlag: § 13 DiätenG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https://recht.nulegal.eu/gesetze/Di%C3%A4tenG/13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