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DiätenG</w:t>
      </w:r>
    </w:p>
    <w:p>
      <w:r>
        <w:rPr>
          <w:color w:val="555555"/>
          <w:sz w:val="18"/>
        </w:rPr>
        <w:t xml:space="preserve">Diätengesetz 1968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 kann in besonderen Fällen Mitgliedern des Bundestages einmalige Unterstützungen, ausgeschiedenen Mitgliedern und ihren Hinterbliebenen einmalige Unterstützungen und laufende Unterhaltszuschüsse gewähren.</w:t>
      </w:r>
    </w:p>
    <w:p>
      <w:r>
        <w:rPr>
          <w:color w:val="555555"/>
          <w:sz w:val="17"/>
        </w:rPr>
        <w:t xml:space="preserve">Zitiervorschlag: § 12 DiätenG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https://recht.nulegal.eu/gesetze/Di%C3%A4tenG/12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