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DiätenGÄndG</w:t>
      </w:r>
    </w:p>
    <w:p>
      <w:r>
        <w:rPr>
          <w:color w:val="555555"/>
          <w:sz w:val="18"/>
        </w:rPr>
        <w:t xml:space="preserve">Gesetz zur Änderung des Gesetzes über die Entschädigung der Mitglieder des Bundestages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Nr. 1 und 2 gilt auch für die vor dem Inkrafttreten aus dem Bundestag ausgeschiedenen Mitglieder sowie für ihre Hinterbliebenen.</w:t>
      </w:r>
    </w:p>
    <w:p>
      <w:r>
        <w:rPr>
          <w:color w:val="555555"/>
          <w:sz w:val="17"/>
        </w:rPr>
        <w:t xml:space="preserve">Zitiervorschlag: § 2 DiätenGÄndG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https://recht.nulegal.eu/gesetze/Di%C3%A4tenG%C3%84ndG/2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DiätenGÄndG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