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DiätV</w:t>
      </w:r>
    </w:p>
    <w:p>
      <w:r>
        <w:rPr>
          <w:color w:val="555555"/>
          <w:sz w:val="18"/>
        </w:rPr>
        <w:t xml:space="preserve">Diätverordnung</w:t>
      </w:r>
    </w:p>
    <w:p>
      <w:r>
        <w:rPr>
          <w:color w:val="555555"/>
          <w:sz w:val="18"/>
        </w:rPr>
        <w:t xml:space="preserve">Historische Fassung: Stand 10.06.2019 bis 25.06.2023. Dies ist nicht die aktuelle Fassung.</w:t>
      </w:r>
    </w:p>
    <w:p>
      <w:r>
        <w:t xml:space="preserve">(1) Als Kochsalzersatz werden die in der Anlage 3 aufgeführten Zusatzstoffe zugelassen. Der Gehalt an Adipinsäure und Adipaten, berechnet als Adipinsäure, darf 60 Gramm in einem Kilogramm Kochsalzersatz nicht überschreiten. Kochsalzersatz darf, auch in jodierter Form, zur Herstellung diätetischer Lebensmittel, die für Natriumempfindliche bestimmt sind, verwendet werden.</w:t>
      </w:r>
    </w:p>
    <w:p>
      <w:r>
        <w:t xml:space="preserve">(2) Die in Nummer 1 der Anlage 3 genannten Magnesiumverbindungen sind nur zugelassen, wenn sie mit mindestens einer der in der Anlage 3 genannten nicht magnesiumhaltigen Verbindungen vermischt sind. Die Mischung darf an Magnesiumverbindungen, berechnet als Magnesiumkationen, nicht mehr als 20 Hundertteile des Gesamtgehalts an Kalium- und Calciumkationen enthalten.</w:t>
      </w:r>
    </w:p>
    <w:p>
      <w:r>
        <w:t xml:space="preserve">(3) Die in Nummer 3 der Anlage 3 genannten Salze des Cholins sind nur zugelassen, wenn sie mit mindestens einer der in der Anlage 3 genannten nicht cholinhaltigen Verbindungen vermischt sind. Die Mischung darf nicht mehr als 3 Hundertteile Cholin enthalten.</w:t>
      </w:r>
    </w:p>
    <w:p>
      <w:r>
        <w:rPr>
          <w:color w:val="555555"/>
          <w:sz w:val="17"/>
        </w:rPr>
        <w:t xml:space="preserve">Zitiervorschlag: § 9 DiätV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