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DiätV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10.06.2021 bis 25.06.2023. Dies ist nicht die aktuelle Fassung.</w:t>
      </w:r>
    </w:p>
    <w:p>
      <w:r>
        <w:t xml:space="preserve">(1) Bei der Gewinnung, Herstellung und Zubereitung diätetischer Lebensmittel dürfen, vorbehaltlich unmittelbar geltender Rechtsakte der Europäischen Gemeinschaft oder der Europäischen Union, Stoffe nur nach Maßgabe dieser Verordnung zugesetzt werden.</w:t>
      </w:r>
    </w:p>
    <w:p>
      <w:r>
        <w:t xml:space="preserve">(2) Die Verwendung von Trinkwasser, das nach der Trinkwasser-Aufbereitungs-Verordnung aufbereitet ist, gilt nicht als Zusatz von Zusatzstoffen im Sinne dieser Verordnung.</w:t>
      </w:r>
    </w:p>
    <w:p>
      <w:r>
        <w:rPr>
          <w:color w:val="555555"/>
          <w:sz w:val="17"/>
        </w:rPr>
        <w:t xml:space="preserve">Zitiervorschlag: § 5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