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Für die Werbung gilt § 22a Abs. 2 Nr. 1 Buchstabe a und Nr. 2 Buchstabe b und Abs. 3 Nr. 1 und 2 entsprechend.</w:t>
      </w:r>
    </w:p>
    <w:p>
      <w:r>
        <w:t xml:space="preserve">(2) Darüber hinaus ist es verboten, Werbung für Säuglingsanfangsnahrung zu betreiben, die</w:t>
      </w:r>
    </w:p>
    <w:p>
      <w:pPr>
        <w:ind w:left="420"/>
      </w:pPr>
      <w:r>
        <w:t xml:space="preserve">1. in anderen als wissenschaftlichen oder der Säuglingspflege gewidmeten Veröffentlichungen erscheint,</w:t>
      </w:r>
    </w:p>
    <w:p>
      <w:pPr>
        <w:ind w:left="420"/>
      </w:pPr>
      <w:r>
        <w:t xml:space="preserve">2. andere als sachbezogene und wissenschaftliche Informationen enthält; diese dürfen nicht den Eindruck erwecken oder darauf hindeuten, dass Flaschennahrung der Muttermilch gleichwertig oder überlegen ist, oder</w:t>
      </w:r>
    </w:p>
    <w:p>
      <w:pPr>
        <w:ind w:left="420"/>
      </w:pPr>
      <w:r>
        <w:t xml:space="preserve">3. die Verbraucher durch Verteilung von Proben, Abgabe kostenloser oder verbilligter Erzeugnisse oder durch andere zusätzliche Kaufanreize, sei es direkt oder indirekt über in der Gesundheitsvorsorge tätige Institutionen oder Personen, zum Kauf anregt.</w:t>
      </w:r>
    </w:p>
    <w:p>
      <w:r>
        <w:t xml:space="preserve">(3) Geschriebenes oder audiovisuelles Material über die Ernährung von Säuglingen, das sich an schwangere Frauen und Mütter von Säuglingen und Kleinkindern zu Informations- und Ausbildungszwecken richtet und mittelbar der Werbung für Säuglingsanfangsnahrung oder Folgenahrung dient, darf nur verteilt werden, wenn es klare Auskünfte gibt über</w:t>
      </w:r>
    </w:p>
    <w:p>
      <w:pPr>
        <w:ind w:left="420"/>
      </w:pPr>
      <w:r>
        <w:t xml:space="preserve">1. den Nutzen und die Vorzüge des Stillens,</w:t>
      </w:r>
    </w:p>
    <w:p>
      <w:pPr>
        <w:ind w:left="420"/>
      </w:pPr>
      <w:r>
        <w:t xml:space="preserve">2. die Ernährung der Mutter sowie die Vorbereitung auf das Stillen und Möglichkeiten zur Fortsetzung des Stillens,</w:t>
      </w:r>
    </w:p>
    <w:p>
      <w:pPr>
        <w:ind w:left="420"/>
      </w:pPr>
      <w:r>
        <w:t xml:space="preserve">3. die mögliche negative Auswirkung der zusätzlichen Flaschennahrung auf das Stillen,</w:t>
      </w:r>
    </w:p>
    <w:p>
      <w:pPr>
        <w:ind w:left="420"/>
      </w:pPr>
      <w:r>
        <w:t xml:space="preserve">4. die Schwierigkeit, den Entschluss, nicht zu stillen, rückgängig zu machen,</w:t>
      </w:r>
    </w:p>
    <w:p>
      <w:pPr>
        <w:ind w:left="420"/>
      </w:pPr>
      <w:r>
        <w:t xml:space="preserve">5. erforderlichenfalls die sachgemäße Verwendung der Säuglingsanfangsnahrung.</w:t>
      </w:r>
    </w:p>
    <w:p>
      <w:r>
        <w:t xml:space="preserve">(4) Wenn das Material im Sinne des Absatzes 3 Informationen über die Verwendung von Säuglingsanfangsnahrung enthält, darf es darüber hinaus nur verteilt werden, wenn es Auskunft über die sozialen und finanziellen Auswirkungen dieser Verwendung sowie über die Gefährdung der Gesundheit durch die Verwendung von nicht als Säuglingsanfangsnahrung geeigneten Lebensmitteln, durch unangemessene Ernährungsmethoden und durch unsachgemäße Verwendung von Säuglingsanfangsnahrung gibt.</w:t>
      </w:r>
    </w:p>
    <w:p>
      <w:r>
        <w:t xml:space="preserve">(5) Es ist verboten, Material im Sinne des Absatzes 3 zu verteilen, in oder auf dem Bilder verwendet werden, mit denen die Verwendung von Säuglingsanfangsnahrung idealisiert wird.</w:t>
      </w:r>
    </w:p>
    <w:p>
      <w:r>
        <w:t xml:space="preserve">(6) Herstellern und Händlern von Säuglingsanfangsnahrung und Folgenahrung ist es verboten, kostenlos Gegenstände zu Informations- und Ausbildungszwecken, welche mittelbar der Werbung für Säuglingsanfangsnahrung oder Folgenahrung dienen, zu verteilen. Dies gilt nicht, wenn diese Gegenstände auf Wunsch über in der Gesundheitsvorsorge tätige Institutionen abgegeben werden. In diesem Fall dürfen diese Gegenstände nicht mit Handelsmarken für Säuglingsanfangsnahrung oder Folgenahrung versehen sein. Die weiteren Anforderungen an die Verteilung richten sich nach Landesrecht.</w:t>
      </w:r>
    </w:p>
    <w:p>
      <w:r>
        <w:rPr>
          <w:color w:val="555555"/>
          <w:sz w:val="17"/>
        </w:rPr>
        <w:t xml:space="preserve">Zitiervorschlag: § 25a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