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DiätV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Bei diätetischen Lebensmitteln für Natriumempfindliche ist bei Verwendung von kaliumhaltigem Kochsalzersatz anzugeben:</w:t>
      </w:r>
    </w:p>
    <w:p>
      <w:pPr>
        <w:ind w:left="420"/>
      </w:pPr>
      <w:r>
        <w:t xml:space="preserve">1. der Gehalt an Kalium in Milligramm, bezogen auf 100 Gramm, bei Flüssigkeiten auf 100 Milliliter des Lebensmittels,</w:t>
      </w:r>
    </w:p>
    <w:p>
      <w:pPr>
        <w:ind w:left="420"/>
      </w:pPr>
      <w:r>
        <w:t xml:space="preserve">2. der Warnhinweis "bei Störungen des Kaliumhaushalts, insbesondere bei Niereninsuffizienz, nur nach ärztlicher Beratung verwenden".</w:t>
      </w:r>
    </w:p>
    <w:p>
      <w:r>
        <w:rPr>
          <w:color w:val="555555"/>
          <w:sz w:val="17"/>
        </w:rPr>
        <w:t xml:space="preserve">Zitiervorschlag: § 24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