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22b DiätV</w:t>
      </w:r>
    </w:p>
    <w:p>
      <w:r>
        <w:rPr>
          <w:color w:val="555555"/>
          <w:sz w:val="18"/>
        </w:rPr>
        <w:t xml:space="preserve">Diätverordnung</w:t>
      </w:r>
    </w:p>
    <w:p>
      <w:r>
        <w:rPr>
          <w:color w:val="555555"/>
          <w:sz w:val="18"/>
        </w:rPr>
        <w:t xml:space="preserve">Historische Fassung: Stand 10.06.2019 bis 25.06.2023. Dies ist nicht die aktuelle Fassung.</w:t>
      </w:r>
    </w:p>
    <w:p>
      <w:r>
        <w:t xml:space="preserve">(1) Beikost darf gewerbsmäßig nur in den Verkehr gebracht werden, wenn die Kennzeichnung nach Maßgabe des § 25 Abs. 1 Nr. 1</w:t>
      </w:r>
    </w:p>
    <w:p>
      <w:pPr>
        <w:ind w:left="420"/>
      </w:pPr>
      <w:r>
        <w:t xml:space="preserve">1. Angaben, ab welchem nach Vollendung des vierten Lebensmonats liegenden Alter die Beikost verwendet werden darf,</w:t>
      </w:r>
    </w:p>
    <w:p>
      <w:pPr>
        <w:ind w:left="420"/>
      </w:pPr>
      <w:r>
        <w:t xml:space="preserve">2. Angaben über den Glutengehalt oder die Glutenfreiheit bei Beikost, die für unter sechs Monate alte Säuglinge bestimmt ist, und</w:t>
      </w:r>
    </w:p>
    <w:p>
      <w:pPr>
        <w:ind w:left="420"/>
      </w:pPr>
      <w:r>
        <w:t xml:space="preserve">3. die notwendigen Angaben über die Zubereitung des Erzeugnisses, verbunden mit einem Hinweis auf die Wichtigkeit ihrer Befolgung,</w:t>
      </w:r>
    </w:p>
    <w:p>
      <w:r>
        <w:t xml:space="preserve">enthält.</w:t>
      </w:r>
    </w:p>
    <w:p>
      <w:r>
        <w:t xml:space="preserve">(2) Beikost darf ferner gewerbsmäßig nur in den Verkehr gebracht werden, wenn in der Kennzeichnung nach Maßgabe des § 25 Abs. 1 Nr. 1</w:t>
      </w:r>
    </w:p>
    <w:p>
      <w:pPr>
        <w:ind w:left="420"/>
      </w:pPr>
      <w:r>
        <w:t xml:space="preserve">1. der in Kilojoule und Kilokalorien ausgedrückte physiologische Brennwert, der Gehalt an Eiweiß, Kohlenhydraten und Fett je 100 g oder 100 ml des an den Verbraucher abzugebenden Erzeugnisses und bei festgelegten Verzehreinheiten je Verzehreinheit,</w:t>
      </w:r>
    </w:p>
    <w:p>
      <w:pPr>
        <w:ind w:left="420"/>
      </w:pPr>
      <w:r>
        <w:t xml:space="preserve">2. der durchschnittliche Gehalt der in den Anlagen 19 oder 20 für das jeweilige Erzeugnis aufgeführten Mineralstoffe und Vitamine je 100 g oder 100 ml des an den Verbraucher abzugebenden Erzeugnisses und bei festgelegten Verzehreinheiten je Verzehreinheit</w:t>
      </w:r>
    </w:p>
    <w:p>
      <w:r>
        <w:t xml:space="preserve">angebracht ist.</w:t>
      </w:r>
    </w:p>
    <w:p>
      <w:r>
        <w:t xml:space="preserve">(3) Bei der Angabe von in Anlage 9 aufgeführten Nährstoffen, die nicht nach Absatz 2 Nr. 2 in die Kennzeichnung aufzunehmen sind, darf Beikost gewerbsmäßig nur in den Verkehr gebracht werden, wenn in der Kennzeichnung der durchschnittliche Gehalt je 100 Gramm oder 100 Milliliter des an den Verbraucher abzugebenden Erzeugnisses und bei festgelegten Verzehreinheiten je Verzehreinheit angegeben ist.</w:t>
      </w:r>
    </w:p>
    <w:p>
      <w:r>
        <w:t xml:space="preserve">(4) Bei der Angabe eines Prozentsatzes des Referenzwertes von in Anlage 21 aufgeführten Vitaminen und Mineralstoffen darf Beikost gewerbsmäßig nur in den Verkehr gebracht werden, wenn der Gehalt der angegebenen Vitamine und Mineralstoffe mindestens 15 Prozent der dort angegebenen Referenzwerte beträgt und der Gehalt je 100 Gramm oder 100 Milliliter des an den Verbraucher abzugebenden Erzeugnisses und bei festgelegten Verzehreinheiten je Verzehreinheit angegeben ist.</w:t>
      </w:r>
    </w:p>
    <w:p>
      <w:r>
        <w:rPr>
          <w:color w:val="555555"/>
          <w:sz w:val="17"/>
        </w:rPr>
        <w:t xml:space="preserve">Zitiervorschlag: § 22b DiätV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https://recht.nulegal.eu/gesetze/Di%C3%A4tV/22b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