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Diätetische Lebensmittel für Natriumempfindliche dürfen gewerbsmäßig nur hergestellt und in den Verkehr gebracht werden, wenn sie folgenden Anforderungen entsprechen:</w:t>
      </w:r>
    </w:p>
    <w:p>
      <w:pPr>
        <w:ind w:left="420"/>
      </w:pPr>
      <w:r>
        <w:t xml:space="preserve">1. Bei Lebensmitteln, ausgenommen Getränken, darf der Natriumgehalt die Menge von 120 Milligramm pro 100 Gramm des verzehrfertigen Lebensmittels nicht überschreiten,</w:t>
      </w:r>
    </w:p>
    <w:p>
      <w:pPr>
        <w:ind w:left="420"/>
      </w:pPr>
      <w:r>
        <w:t xml:space="preserve">2. bei Getränken, ausgenommen natürlichem Mineralwasser, darf der Natriumgehalt die Menge von 2 Milligramm pro 100 Milliliter des verzehrfertigen Lebensmittels nicht überschreiten.</w:t>
      </w:r>
    </w:p>
    <w:p>
      <w:r>
        <w:t xml:space="preserve">Mit der Angabe "streng natriumarm", auch ergänzt durch die Angabe "streng kochsalzarm", dürfen natriumarme diätetische Lebensmittel, ausgenommen Getränke, nur gekennzeichnet werden, wenn der Gehalt an Natrium 40 Milligramm pro 100 Gramm des verzehrfertigen Lebensmittels nicht übersteigt.</w:t>
      </w:r>
    </w:p>
    <w:p>
      <w:r>
        <w:t xml:space="preserve">(2) Stoffe, die keine Zusatzstoffe sind, dürfen unvermischt oder nach Vermischung mit anderen Lebensmitteln als Kochsalzersatz nur gekennzeichnet werden, wenn sie kein Natrium enthalten.</w:t>
      </w:r>
    </w:p>
    <w:p>
      <w:r>
        <w:t xml:space="preserve">(3) Erzeugnisse, die auf der Grundlage von Kochsalz, natriumhaltigem Quellensalz oder Meersalz hergestellt sind, dürfen als diätetische Lebensmittel nur in den Verkehr gebracht werden, wenn sie durch die Angabe "kein Kochsalzersatz" in Verbindung mit der Bezeichnung des Erzeugnisses gekennzeichnet sind.</w:t>
      </w:r>
    </w:p>
    <w:p>
      <w:r>
        <w:rPr>
          <w:color w:val="555555"/>
          <w:sz w:val="17"/>
        </w:rPr>
        <w:t xml:space="preserve">Zitiervorschlag: § 13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