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DeuFöV</w:t>
      </w:r>
    </w:p>
    <w:p>
      <w:r>
        <w:rPr>
          <w:color w:val="555555"/>
          <w:sz w:val="18"/>
        </w:rPr>
        <w:t xml:space="preserve">Deutschsprachförderverordnung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45a Absatz 3 des Aufenthaltsgesetzes, der durch Artikel 3 Nummer 7 des Gesetzes vom 20. Oktober 2015 (BGBl. I S. 1722) eingefügt worden ist, verordnet das Bundesministerium für Arbeit und Soziales im Einvernehmen mit dem Bundesministerium des Innern:</w:t>
      </w:r>
    </w:p>
    <w:p>
      <w:r>
        <w:rPr>
          <w:color w:val="555555"/>
          <w:sz w:val="17"/>
        </w:rPr>
        <w:t xml:space="preserve">Zitiervorschlag: Eingangsformel DeuFöV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https://recht.nulegal.eu/gesetze/DeuF%C3%B6V/eingangsformel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