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DeuFöV — Prüfung und Entscheidung des Bundesamts</w:t>
      </w:r>
    </w:p>
    <w:p>
      <w:r>
        <w:rPr>
          <w:color w:val="555555"/>
          <w:sz w:val="18"/>
        </w:rPr>
        <w:t xml:space="preserve">Deutschsprachförderverordnung</w:t>
      </w:r>
    </w:p>
    <w:p>
      <w:r>
        <w:rPr>
          <w:color w:val="555555"/>
          <w:sz w:val="18"/>
        </w:rPr>
        <w:t xml:space="preserve">Stand: 01.05.2026 (konsolidierte Textfassung, kein amtliches Inkrafttretensdatum)</w:t>
      </w:r>
    </w:p>
    <w:p>
      <w:r>
        <w:t xml:space="preserve">(1) Das Bundesamt entscheidet über den Zulassungsantrag nach Prüfung der eingereichten Unterlagen und im Regelfall nach örtlicher Prüfung durch Bescheid. Bei der Entscheidung über die Erteilung der Zulassung und ihre Dauer sind neben den Angaben nach § 20 die Erfahrungen mit der bisherigen Kooperation des Kursträgers mit dem Bundesamt einschließlich bereits erfolgter Verkürzungen der Zulassungsdauer nach Absatz 2 Satz 4 zu berücksichtigen.</w:t>
      </w:r>
    </w:p>
    <w:p>
      <w:r>
        <w:t xml:space="preserve">(2) Die Zulassung wird für längstens fünf Jahre erteilt. Aus dem Bescheid muss hervorgehen, für welche Berufssprachkurse der Träger zugelassen ist. Die Dauer der Zulassung wird anhand eines Punktesystems festgesetzt, das das Erreichen von Standards bei den in Absatz 1 genannten Kriterien abbildet. Zudem kann das Bundesamt die Dauer der Zulassung verkürzen, wenn eine vom Bundesamt festzulegende Vergütungsgrenze für die Lehrkräfte unterschritten wird.</w:t>
      </w:r>
    </w:p>
    <w:p>
      <w:r>
        <w:t xml:space="preserve">(3) Bei Wiederholungsanträgen kann das Bundesamt ein vereinfachtes Verfahren vorsehen.</w:t>
      </w:r>
    </w:p>
    <w:p>
      <w:r>
        <w:t xml:space="preserve">(4) Das Bundesamt ist berechtigt, zur Erfüllung seiner Aufgaben bei den Kursträgern Prüfungen durchzuführen, Unterlagen einzusehen und unangemeldet Kurse zu besuchen. Der Kursträger ist verpflichtet, dem Bundesamt auf Verlangen Auskünfte zu erteilen. Der Kursträger hat dem Bundesamt Änderungen, die Auswirkungen auf die Zulassung haben können, unverzüglich anzuzeigen.</w:t>
      </w:r>
    </w:p>
    <w:p>
      <w:r>
        <w:rPr>
          <w:color w:val="555555"/>
          <w:sz w:val="17"/>
        </w:rPr>
        <w:t xml:space="preserve">Zitiervorschlag: § 21 DeuFöV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https://recht.nulegal.eu/gesetze/DeuF%C3%B6V/21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