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DeuFöV — Persönlicher Anwendungsbereich der Verordnung</w:t>
      </w:r>
    </w:p>
    <w:p>
      <w:r>
        <w:rPr>
          <w:color w:val="555555"/>
          <w:sz w:val="18"/>
        </w:rPr>
        <w:t xml:space="preserve">Deutschsprachförderverordnung</w:t>
      </w:r>
    </w:p>
    <w:p>
      <w:r>
        <w:rPr>
          <w:color w:val="555555"/>
          <w:sz w:val="18"/>
        </w:rPr>
        <w:t xml:space="preserve">Stand: 01.05.2026 (konsolidierte Textfassung, kein amtliches Inkrafttretensdatum)</w:t>
      </w:r>
    </w:p>
    <w:p>
      <w:r>
        <w:t xml:space="preserve">(1) Die Verordnung ist anwendbar auf Ausländerinnen und Ausländer im Sinne von § 2 Absatz 1 des Aufenthaltsgesetzes und auf Ausländerinnen und Ausländer, deren Rechtsstellung sich nach dem Freizügigkeitsgesetz/EU bestimmt.</w:t>
      </w:r>
    </w:p>
    <w:p>
      <w:r>
        <w:t xml:space="preserve">(2) Die Verordnung ist entsprechend auf deutsche Staatsangehörige anwendbar, deren Erstsprache nicht Deutsch ist.</w:t>
      </w:r>
    </w:p>
    <w:p>
      <w:r>
        <w:rPr>
          <w:color w:val="555555"/>
          <w:sz w:val="17"/>
        </w:rPr>
        <w:t xml:space="preserve">Zitiervorschlag: § 2 DeuFöV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https://recht.nulegal.eu/gesetze/DeuF%C3%B6V/2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DeuFöV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