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DetergKostV</w:t>
      </w:r>
    </w:p>
    <w:p>
      <w:r>
        <w:rPr>
          <w:color w:val="555555"/>
          <w:sz w:val="18"/>
        </w:rPr>
        <w:t xml:space="preserve">Detergenzien-Kostenverordnung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16 Abs. 2 des Wasch- und Reinigungsmittelgesetzes vom 29. April 2007 (BGBl. I S. 600) in Verbindung mit dem 2. Abschnitt des Verwaltungskostengesetzes vom 23. Juni 1970 (BGBl. I S. 821) verordnet die Bundesregierung:</w:t>
      </w:r>
    </w:p>
    <w:p>
      <w:r>
        <w:rPr>
          <w:color w:val="555555"/>
          <w:sz w:val="17"/>
        </w:rPr>
        <w:t xml:space="preserve">Zitiervorschlag: Eingangsformel DetergKostV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https://recht.nulegal.eu/gesetze/DetergKostV/eingangsformel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