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DetergKostV — Inkrafttreten</w:t>
      </w:r>
    </w:p>
    <w:p>
      <w:r>
        <w:rPr>
          <w:color w:val="555555"/>
          <w:sz w:val="18"/>
        </w:rPr>
        <w:t xml:space="preserve">Detergenzien-Kostenverordnung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DetergKostV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https://recht.nulegal.eu/gesetze/DetergKostV/3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