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DetergKostV — Ungültigkeit und Rücknahme von Anträgen</w:t>
      </w:r>
    </w:p>
    <w:p>
      <w:r>
        <w:rPr>
          <w:color w:val="555555"/>
          <w:sz w:val="18"/>
        </w:rPr>
        <w:t xml:space="preserve">Detergenzien-Kostenverordnung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In den Fällen der Ungültigkeit eines Antrags nach Artikel 5 Abs. 3 Unterabs. 2 Satz 3 der Verordnung (EG) Nr. 648/2004 oder der Rücknahme eines Antrags auf Erteilung einer Ausnahmegenehmigung werden die Gebühren nach Maßgabe des § 23 Absatz 5 Satz 1 und 2 des Bundesgebührengesetzes erhoben.</w:t>
      </w:r>
    </w:p>
    <w:p>
      <w:r>
        <w:rPr>
          <w:color w:val="555555"/>
          <w:sz w:val="17"/>
        </w:rPr>
        <w:t xml:space="preserve">Zitiervorschlag: § 2 DetergKostV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https://recht.nulegal.eu/gesetze/DetergKostV/2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