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DetergKostV — Gebühren und Auslagen</w:t>
      </w:r>
    </w:p>
    <w:p>
      <w:r>
        <w:rPr>
          <w:color w:val="555555"/>
          <w:sz w:val="18"/>
        </w:rPr>
        <w:t xml:space="preserve">Detergenzien-Kostenverordnung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Das Umweltbundesamt erhebt für die Prüfung und Bewertung von Anträgen auf Erteilung einer Ausnahmegenehmigung nach Artikel 5 Abs. 3, auch in Verbindung mit Abs. 5, der Verordnung (EG) Nr. 648/2004 des Europäischen Parlaments und des Rates vom 31. März 2004 über Detergenzien (ABl. EU Nr. L 104 S. 1) kostendeckende Gebühren nach dem Gebührenverzeichnis in der Anlage und Auslagen nach § 23 Absatz 6 des Bundesgebührengesetzes. Die Gebühren dürfen die Kosten für die Bearbeitung des Antrags nicht überschreiten.</w:t>
      </w:r>
    </w:p>
    <w:p>
      <w:r>
        <w:rPr>
          <w:color w:val="555555"/>
          <w:sz w:val="17"/>
        </w:rPr>
        <w:t xml:space="preserve">Zitiervorschlag: § 1 DetergKostV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https://recht.nulegal.eu/gesetze/DetergKostV/1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