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DestAusbV — Ausbildungsrahmenplan</w:t>
      </w:r>
    </w:p>
    <w:p>
      <w:r>
        <w:rPr>
          <w:color w:val="555555"/>
          <w:sz w:val="18"/>
        </w:rPr>
        <w:t xml:space="preserve">Verordnung über die Berufsausbildung zum Destillateur/zur Destillateurin</w:t>
      </w:r>
    </w:p>
    <w:p>
      <w:r>
        <w:rPr>
          <w:color w:val="555555"/>
          <w:sz w:val="18"/>
        </w:rPr>
        <w:t xml:space="preserve">Stand: 10.06.2019 (konsolidierte Textfassung, kein amtliches Inkrafttretensdatum)</w:t>
      </w:r>
    </w:p>
    <w:p>
      <w:r>
        <w:t xml:space="preserve">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Ausbildungsinhalts ist insbesondere zulässig, soweit eine berufsfeldbezogene Grundbildung vorausgegangen ist oder betriebspraktische Besonderheiten die Abweichung erfordern.</w:t>
      </w:r>
    </w:p>
    <w:p>
      <w:r>
        <w:rPr>
          <w:color w:val="555555"/>
          <w:sz w:val="17"/>
        </w:rPr>
        <w:t xml:space="preserve">Zitiervorschlag: § 4 DestAusbV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https://recht.nulegal.eu/gesetze/DestAusbV/4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