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DesignV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Abschnitt 1Allgemeines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rPr>
          <w:rFonts w:ascii="Courier New" w:hAnsi="Courier New"/>
          <w:sz w:val="17"/>
        </w:rPr>
        <w:t xml:space="preserve">§ 2    Formblätter</w:t>
      </w:r>
    </w:p>
    <w:p>
      <w:r>
        <w:t xml:space="preserve">Abschnitt 2Eintragungsverfahren</w:t>
      </w:r>
    </w:p>
    <w:p>
      <w:r>
        <w:rPr>
          <w:rFonts w:ascii="Courier New" w:hAnsi="Courier New"/>
          <w:sz w:val="17"/>
        </w:rPr>
        <w:t xml:space="preserve">§ 3    Inhalt der Anmeldung</w:t>
      </w:r>
    </w:p>
    <w:p>
      <w:r>
        <w:rPr>
          <w:rFonts w:ascii="Courier New" w:hAnsi="Courier New"/>
          <w:sz w:val="17"/>
        </w:rPr>
        <w:t xml:space="preserve">§ 4    Einreichung der Anmeldung</w:t>
      </w:r>
    </w:p>
    <w:p>
      <w:r>
        <w:rPr>
          <w:rFonts w:ascii="Courier New" w:hAnsi="Courier New"/>
          <w:sz w:val="17"/>
        </w:rPr>
        <w:t xml:space="preserve">§ 5    Antrag auf Eintragung</w:t>
      </w:r>
    </w:p>
    <w:p>
      <w:r>
        <w:rPr>
          <w:rFonts w:ascii="Courier New" w:hAnsi="Courier New"/>
          <w:sz w:val="17"/>
        </w:rPr>
        <w:t xml:space="preserve">§ 6    Angaben zum Anmelder, Vertreter und Entwerfer</w:t>
      </w:r>
    </w:p>
    <w:p>
      <w:r>
        <w:rPr>
          <w:rFonts w:ascii="Courier New" w:hAnsi="Courier New"/>
          <w:sz w:val="17"/>
        </w:rPr>
        <w:t xml:space="preserve">§ 7    Wiedergabe des Designs</w:t>
      </w:r>
    </w:p>
    <w:p>
      <w:r>
        <w:rPr>
          <w:rFonts w:ascii="Courier New" w:hAnsi="Courier New"/>
          <w:sz w:val="17"/>
        </w:rPr>
        <w:t xml:space="preserve">§ 8    Flächenmäßige Designabschnitte</w:t>
      </w:r>
    </w:p>
    <w:p>
      <w:r>
        <w:rPr>
          <w:rFonts w:ascii="Courier New" w:hAnsi="Courier New"/>
          <w:sz w:val="17"/>
        </w:rPr>
        <w:t xml:space="preserve">§ 9    Erzeugnisangabe und Klassifizierung</w:t>
      </w:r>
    </w:p>
    <w:p>
      <w:r>
        <w:rPr>
          <w:rFonts w:ascii="Courier New" w:hAnsi="Courier New"/>
          <w:sz w:val="17"/>
        </w:rPr>
        <w:t xml:space="preserve">§ 10    Beschreibung zur Erläuterung der Wiedergabe</w:t>
      </w:r>
    </w:p>
    <w:p>
      <w:r>
        <w:rPr>
          <w:rFonts w:ascii="Courier New" w:hAnsi="Courier New"/>
          <w:sz w:val="17"/>
        </w:rPr>
        <w:t xml:space="preserve">§ 11    Angaben bei Inanspruchnahme einer Priorität</w:t>
      </w:r>
    </w:p>
    <w:p>
      <w:r>
        <w:rPr>
          <w:rFonts w:ascii="Courier New" w:hAnsi="Courier New"/>
          <w:sz w:val="17"/>
        </w:rPr>
        <w:t xml:space="preserve">§ 12    Teilung einer Sammelanmeldung</w:t>
      </w:r>
    </w:p>
    <w:p>
      <w:r>
        <w:rPr>
          <w:rFonts w:ascii="Courier New" w:hAnsi="Courier New"/>
          <w:sz w:val="17"/>
        </w:rPr>
        <w:t xml:space="preserve">§ 13    Weiterbehandlung der Anmeldung</w:t>
      </w:r>
    </w:p>
    <w:p>
      <w:r>
        <w:rPr>
          <w:rFonts w:ascii="Courier New" w:hAnsi="Courier New"/>
          <w:sz w:val="17"/>
        </w:rPr>
        <w:t xml:space="preserve">§ 14    Deutsche Übersetzungen</w:t>
      </w:r>
    </w:p>
    <w:p>
      <w:r>
        <w:t xml:space="preserve">Abschnitt 3Designregister, Verfahren nach Eintragung</w:t>
      </w:r>
    </w:p>
    <w:p>
      <w:r>
        <w:rPr>
          <w:rFonts w:ascii="Courier New" w:hAnsi="Courier New"/>
          <w:sz w:val="17"/>
        </w:rPr>
        <w:t xml:space="preserve">§ 15    Inhalt des Designregisters</w:t>
      </w:r>
    </w:p>
    <w:p>
      <w:r>
        <w:rPr>
          <w:rFonts w:ascii="Courier New" w:hAnsi="Courier New"/>
          <w:sz w:val="17"/>
        </w:rPr>
        <w:t xml:space="preserve">§ 16    Weitere Eintragungen in das Designregister</w:t>
      </w:r>
    </w:p>
    <w:p>
      <w:r>
        <w:rPr>
          <w:rFonts w:ascii="Courier New" w:hAnsi="Courier New"/>
          <w:sz w:val="17"/>
        </w:rPr>
        <w:t xml:space="preserve">§ 17    Eintragungsurkunde</w:t>
      </w:r>
    </w:p>
    <w:p>
      <w:r>
        <w:rPr>
          <w:rFonts w:ascii="Courier New" w:hAnsi="Courier New"/>
          <w:sz w:val="17"/>
        </w:rPr>
        <w:t xml:space="preserve">§ 18    Teilung einer Sammeleintragung</w:t>
      </w:r>
    </w:p>
    <w:p>
      <w:r>
        <w:rPr>
          <w:rFonts w:ascii="Courier New" w:hAnsi="Courier New"/>
          <w:sz w:val="17"/>
        </w:rPr>
        <w:t xml:space="preserve">§ 19    Angaben bei Erstreckung und Aufrechterhaltung</w:t>
      </w:r>
    </w:p>
    <w:p>
      <w:r>
        <w:rPr>
          <w:rFonts w:ascii="Courier New" w:hAnsi="Courier New"/>
          <w:sz w:val="17"/>
        </w:rPr>
        <w:t xml:space="preserve">§ 20    Verzicht auf das eingetragene Design</w:t>
      </w:r>
    </w:p>
    <w:p>
      <w:r>
        <w:t xml:space="preserve">Abschnitt 4Verfahren zur Feststellung oder Erklärung der Nichtigkeit</w:t>
      </w:r>
    </w:p>
    <w:p>
      <w:r>
        <w:rPr>
          <w:rFonts w:ascii="Courier New" w:hAnsi="Courier New"/>
          <w:sz w:val="17"/>
        </w:rPr>
        <w:t xml:space="preserve">§ 21    Antragstellung</w:t>
      </w:r>
    </w:p>
    <w:p>
      <w:r>
        <w:rPr>
          <w:rFonts w:ascii="Courier New" w:hAnsi="Courier New"/>
          <w:sz w:val="17"/>
        </w:rPr>
        <w:t xml:space="preserve">§ 22    Verfahrensgrundsätze</w:t>
      </w:r>
    </w:p>
    <w:p>
      <w:r>
        <w:t xml:space="preserve">Abschnitt 5Internationale Eintragungen</w:t>
      </w:r>
    </w:p>
    <w:p>
      <w:r>
        <w:rPr>
          <w:rFonts w:ascii="Courier New" w:hAnsi="Courier New"/>
          <w:sz w:val="17"/>
        </w:rPr>
        <w:t xml:space="preserve">§ 23    Stellungnahme zur Schutzverweigerung bei internationalen Eintragungen</w:t>
      </w:r>
    </w:p>
    <w:p>
      <w:r>
        <w:rPr>
          <w:rFonts w:ascii="Courier New" w:hAnsi="Courier New"/>
          <w:sz w:val="17"/>
        </w:rPr>
        <w:t xml:space="preserve">§ 24    (weggefallen)</w:t>
      </w:r>
    </w:p>
    <w:p>
      <w:r>
        <w:rPr>
          <w:rFonts w:ascii="Courier New" w:hAnsi="Courier New"/>
          <w:sz w:val="17"/>
        </w:rPr>
        <w:t xml:space="preserve">§ 25    Nachträgliche Schutzentziehung</w:t>
      </w:r>
    </w:p>
    <w:p>
      <w:r>
        <w:t xml:space="preserve">Abschnitt 6Schlussvorschriften</w:t>
      </w:r>
    </w:p>
    <w:p>
      <w:r>
        <w:rPr>
          <w:rFonts w:ascii="Courier New" w:hAnsi="Courier New"/>
          <w:sz w:val="17"/>
        </w:rPr>
        <w:t xml:space="preserve">§ 26    Aufbewahrung der Wiedergabe des Designs</w:t>
      </w:r>
    </w:p>
    <w:p>
      <w:r>
        <w:rPr>
          <w:rFonts w:ascii="Courier New" w:hAnsi="Courier New"/>
          <w:sz w:val="17"/>
        </w:rPr>
        <w:t xml:space="preserve">§ 27    Übergangsregelungen</w:t>
      </w:r>
    </w:p>
    <w:p>
      <w:r>
        <w:rPr>
          <w:color w:val="555555"/>
          <w:sz w:val="17"/>
        </w:rPr>
        <w:t xml:space="preserve">Zitiervorschlag: Inhaltsübersicht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