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DesignV — Einreichung der Anmeldung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Anmeldung kann schriftlich oder elektronisch eingereicht werden. Für die elektronische Einreichung ist die Verordnung über den elektronischen Rechtsverkehr beim Deutschen Patent- und Markenamt maßgebend. § 7 Absatz 5 bleibt unberührt.</w:t>
      </w:r>
    </w:p>
    <w:p>
      <w:r>
        <w:t xml:space="preserve">(2) Abweichend von § 11 Absatz 1 der DPMA-Verordnung ist die Einreichung von Wiedergaben eines Designs zum Zwecke der Anmeldung oder der nachträglichen Einreichung (§ 16 Absatz 3 Satz 1 des Designgesetzes) per Telefax nicht zulässig.</w:t>
      </w:r>
    </w:p>
    <w:p>
      <w:r>
        <w:rPr>
          <w:color w:val="555555"/>
          <w:sz w:val="17"/>
        </w:rPr>
        <w:t xml:space="preserve">Zitiervorschlag: § 4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