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DesignV — Inhalt der Anmeldung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Anmeldung zur Eintragung eines Designs in das Designregister muss nach § 11 Absatz 2 und 3 des Designgesetzes enthalten:</w:t>
      </w:r>
    </w:p>
    <w:p>
      <w:pPr>
        <w:ind w:left="420"/>
      </w:pPr>
      <w:r>
        <w:t xml:space="preserve">1. den Antrag auf Eintragung (§ 5),</w:t>
      </w:r>
    </w:p>
    <w:p>
      <w:pPr>
        <w:ind w:left="420"/>
      </w:pPr>
      <w:r>
        <w:t xml:space="preserve">2. Angaben, die erlauben, die Identität des Anmelders festzustellen (§ 6 Absatz 1 bis 3),</w:t>
      </w:r>
    </w:p>
    <w:p>
      <w:pPr>
        <w:ind w:left="420"/>
      </w:pPr>
      <w:r>
        <w:t xml:space="preserve">3. die Wiedergabe des Designs (§ 7) oder im Fall des § 11 Absatz 2 Satz 2 des Designgesetzes den flächenmäßigen Designabschnitt (§ 8) und</w:t>
      </w:r>
    </w:p>
    <w:p>
      <w:pPr>
        <w:ind w:left="420"/>
      </w:pPr>
      <w:r>
        <w:t xml:space="preserve">4. die Angabe der Erzeugnisse, in die das Design aufgenommen oder bei denen es verwendet werden soll (§ 9).</w:t>
      </w:r>
    </w:p>
    <w:p>
      <w:r>
        <w:t xml:space="preserve">(2) Die Anmeldung kann ferner enthalten:</w:t>
      </w:r>
    </w:p>
    <w:p>
      <w:pPr>
        <w:ind w:left="420"/>
      </w:pPr>
      <w:r>
        <w:t xml:space="preserve">1. eine Beschreibung zur Erläuterung der Wiedergabe (§ 10),</w:t>
      </w:r>
    </w:p>
    <w:p>
      <w:pPr>
        <w:ind w:left="420"/>
      </w:pPr>
      <w:r>
        <w:t xml:space="preserve">2. einen Antrag auf Aufschiebung der Bekanntmachung der Wiedergabe nach § 21 Absatz 1 Satz 1 des Designgesetzes,</w:t>
      </w:r>
    </w:p>
    <w:p>
      <w:pPr>
        <w:ind w:left="420"/>
      </w:pPr>
      <w:r>
        <w:t xml:space="preserve">3. die Angabe der Warenklasse, in die das Design einzuordnen ist (§ 9),</w:t>
      </w:r>
    </w:p>
    <w:p>
      <w:pPr>
        <w:ind w:left="420"/>
      </w:pPr>
      <w:r>
        <w:t xml:space="preserve">4. die Angabe eines Vertreters (§ 6 Absatz 4),</w:t>
      </w:r>
    </w:p>
    <w:p>
      <w:pPr>
        <w:ind w:left="420"/>
      </w:pPr>
      <w:r>
        <w:t xml:space="preserve">5. die Angabe des Entwerfers (§ 6 Absatz 5),</w:t>
      </w:r>
    </w:p>
    <w:p>
      <w:pPr>
        <w:ind w:left="420"/>
      </w:pPr>
      <w:r>
        <w:t xml:space="preserve">6. eine Erklärung, dass die Priorität einer früheren ausländischen Anmeldung desselben Designs oder eine Ausstellungspriorität in Anspruch genommen wird (§ 11),</w:t>
      </w:r>
    </w:p>
    <w:p>
      <w:pPr>
        <w:ind w:left="420"/>
      </w:pPr>
      <w:r>
        <w:t xml:space="preserve">7. die unverbindliche Erklärung des Anmelders, ob ein Interesse an der Vergabe von Lizenzen besteht und</w:t>
      </w:r>
    </w:p>
    <w:p>
      <w:pPr>
        <w:ind w:left="420"/>
      </w:pPr>
      <w:r>
        <w:t xml:space="preserve">8. eine Erklärung zum Verzicht auf die Eintragungsurkunde.</w:t>
      </w:r>
    </w:p>
    <w:p>
      <w:r>
        <w:rPr>
          <w:color w:val="555555"/>
          <w:sz w:val="17"/>
        </w:rPr>
        <w:t xml:space="preserve">Zitiervorschlag: § 3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