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DesignV — Übergangsregelungen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§ 4 Absatz 2 findet auf bis zum 9. Januar 2014 eingegangene Wiedergaben keine Anwendung.</w:t>
      </w:r>
    </w:p>
    <w:p>
      <w:r>
        <w:t xml:space="preserve">(2) § 22 findet Anwendung auf alle Anträge zur Feststellung oder Erklärung der Nichtigkeit eines eingetragenen Designs, die ab dem 1. Januar 2014 bei dem Deutschen Patent- und Markenamt eingegangen sind.</w:t>
      </w:r>
    </w:p>
    <w:p>
      <w:r>
        <w:t xml:space="preserve">(3) Für Anmeldungen, die vor dem 1. Juli 2026 eingereicht worden sind, gelten die §§ 10 und 11 in der bis einschließlich 30. Juni 2026 geltenden Fassung.</w:t>
      </w:r>
    </w:p>
    <w:p>
      <w:r>
        <w:rPr>
          <w:color w:val="555555"/>
          <w:sz w:val="17"/>
        </w:rPr>
        <w:t xml:space="preserve">Zitiervorschlag: § 27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