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DesignV — Nachträgliche Schutzentziehung</w:t>
      </w:r>
    </w:p>
    <w:p>
      <w:r>
        <w:rPr>
          <w:color w:val="555555"/>
          <w:sz w:val="18"/>
        </w:rPr>
        <w:t xml:space="preserve">Designverordnung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Antrag auf Feststellung der Unwirksamkeit einer internationalen Eintragung für das Gebiet der Bundesrepublik Deutschland (§ 70 Absatz 1 Satz 1 des Designgesetzes) gelten die §§ 21 und 22 entsprechend.</w:t>
      </w:r>
    </w:p>
    <w:p>
      <w:r>
        <w:rPr>
          <w:color w:val="555555"/>
          <w:sz w:val="17"/>
        </w:rPr>
        <w:t xml:space="preserve">Zitiervorschlag: § 25 DesignV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https://recht.nulegal.eu/gesetze/DesignV/25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