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DesignV — Angaben bei Erstreckung und Aufrechterhaltung</w:t>
      </w:r>
    </w:p>
    <w:p>
      <w:r>
        <w:rPr>
          <w:color w:val="555555"/>
          <w:sz w:val="18"/>
        </w:rPr>
        <w:t xml:space="preserve">Designverordnung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der Zahlung der Gebühr zur Erstreckung des Schutzes auf die Schutzdauer nach § 27 Absatz 2 des Designgesetzes (§ 21 Absatz 2 Satz 1 des Designgesetzes) sind anzugeben:</w:t>
      </w:r>
    </w:p>
    <w:p>
      <w:pPr>
        <w:ind w:left="420"/>
      </w:pPr>
      <w:r>
        <w:t xml:space="preserve">1. das Aktenzeichen der Eintragung,</w:t>
      </w:r>
    </w:p>
    <w:p>
      <w:pPr>
        <w:ind w:left="420"/>
      </w:pPr>
      <w:r>
        <w:t xml:space="preserve">2. der Verwendungszweck der Zahlung und</w:t>
      </w:r>
    </w:p>
    <w:p>
      <w:pPr>
        <w:ind w:left="420"/>
      </w:pPr>
      <w:r>
        <w:t xml:space="preserve">3. der Name des Rechtsinhabers nach § 6 Absatz 1.</w:t>
      </w:r>
    </w:p>
    <w:p>
      <w:r>
        <w:t xml:space="preserve">(2) Soll die Erstreckung des Schutzes nur für einzelne eingetragene Designs innerhalb einer Sammeleintragung bewirkt werden, so ist ein Antrag einzureichen, der folgende Angaben enthält:</w:t>
      </w:r>
    </w:p>
    <w:p>
      <w:pPr>
        <w:ind w:left="420"/>
      </w:pPr>
      <w:r>
        <w:t xml:space="preserve">1. das Aktenzeichen der Eintragung,</w:t>
      </w:r>
    </w:p>
    <w:p>
      <w:pPr>
        <w:ind w:left="420"/>
      </w:pPr>
      <w:r>
        <w:t xml:space="preserve">2. der Name des Rechtsinhabers nach § 6 Absatz 1 sowie</w:t>
      </w:r>
    </w:p>
    <w:p>
      <w:pPr>
        <w:ind w:left="420"/>
      </w:pPr>
      <w:r>
        <w:t xml:space="preserve">3. die Nummern der eingetragenen Designs, deren Schutz erstreckt werden soll.</w:t>
      </w:r>
    </w:p>
    <w:p>
      <w:r>
        <w:t xml:space="preserve">(3) Beantragt der Rechtsinhaber die Nachholung der Bekanntmachung der Wiedergabe (§ 21 Absatz 3 des Designgesetzes) vor Ablauf der Frist nach § 21 Absatz 1 Satz 1 des Designgesetzes, sind in dem Antrag anzugeben:</w:t>
      </w:r>
    </w:p>
    <w:p>
      <w:pPr>
        <w:ind w:left="420"/>
      </w:pPr>
      <w:r>
        <w:t xml:space="preserve">1. das Aktenzeichen der Eintragung,</w:t>
      </w:r>
    </w:p>
    <w:p>
      <w:pPr>
        <w:ind w:left="420"/>
      </w:pPr>
      <w:r>
        <w:t xml:space="preserve">2. der Name des Rechtsinhabers nach § 6 Absatz 1 und</w:t>
      </w:r>
    </w:p>
    <w:p>
      <w:pPr>
        <w:ind w:left="420"/>
      </w:pPr>
      <w:r>
        <w:t xml:space="preserve">3. der Zeitpunkt, zu dem die Bekanntmachung erfolgen soll.</w:t>
      </w:r>
    </w:p>
    <w:p>
      <w:r>
        <w:t xml:space="preserve">(4) Bei der Zahlung der Aufrechterhaltungsgebühr sind die Absätze 1 und 2 entsprechend anzuwenden.</w:t>
      </w:r>
    </w:p>
    <w:p>
      <w:r>
        <w:rPr>
          <w:color w:val="555555"/>
          <w:sz w:val="17"/>
        </w:rPr>
        <w:t xml:space="preserve">Zitiervorschlag: § 19 DesignV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https://recht.nulegal.eu/gesetze/DesignV/19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