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DesignV — Weitere Eintragungen in das Designregister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Neben den Eintragungen nach § 15 sind gegebenenfalls folgende Angaben in das Designregister aufzunehmen:</w:t>
      </w:r>
    </w:p>
    <w:p>
      <w:pPr>
        <w:ind w:left="420"/>
      </w:pPr>
      <w:r>
        <w:t xml:space="preserve">1. dass der Schutz auf die Schutzdauer nach § 27 Absatz 2 des Designgesetzes erstreckt wurde (§ 21 Absatz 2 Satz 1 des Designgesetzes),</w:t>
      </w:r>
    </w:p>
    <w:p>
      <w:pPr>
        <w:ind w:left="420"/>
      </w:pPr>
      <w:r>
        <w:t xml:space="preserve">2. bei nachgeholter Bekanntmachung der Wiedergabe (§ 21 Absatz 3 des Designgesetzes) der Tag der Bekanntmachung sowie der Hinweis auf die Bekanntmachung nach § 21 Absatz 1 Satz 2 des Designgesetzes,</w:t>
      </w:r>
    </w:p>
    <w:p>
      <w:pPr>
        <w:ind w:left="420"/>
      </w:pPr>
      <w:r>
        <w:t xml:space="preserve">3. Änderungen der in § 15 Absatz 1 Nummer 4 und 5 sowie Absatz 2 Nummer 3 und 4 aufgeführten Angaben,</w:t>
      </w:r>
    </w:p>
    <w:p>
      <w:pPr>
        <w:ind w:left="420"/>
      </w:pPr>
      <w:r>
        <w:t xml:space="preserve">4. dass ein Antrag auf Wiedereinsetzung in den vorigen Stand gestellt wurde (§ 23 Absatz 3 Satz 3 des Designgesetzes) sowie das Ergebnis dieses Verfahrens,</w:t>
      </w:r>
    </w:p>
    <w:p>
      <w:pPr>
        <w:ind w:left="420"/>
      </w:pPr>
      <w:r>
        <w:t xml:space="preserve">5. dass ein Design aus einer Sammeleintragung abgeteilt wurde (§ 18),</w:t>
      </w:r>
    </w:p>
    <w:p>
      <w:pPr>
        <w:ind w:left="420"/>
      </w:pPr>
      <w:r>
        <w:t xml:space="preserve">6. dass ein gerichtliches Verfahren gemäß § 9 Absatz 1 des Designgesetzes eingeleitet wurde sowie die weiteren Angaben nach § 9 Absatz 4 des Designgesetzes,</w:t>
      </w:r>
    </w:p>
    <w:p>
      <w:pPr>
        <w:ind w:left="420"/>
      </w:pPr>
      <w:r>
        <w:t xml:space="preserve">7. dass ein Antrag auf Feststellung oder Erklärung der Nichtigkeit gestellt wurde (§ 34a Absatz 1 des Designgesetzes) sowie das Ergebnis des Nichtigkeitsverfahrens,</w:t>
      </w:r>
    </w:p>
    <w:p>
      <w:pPr>
        <w:ind w:left="420"/>
      </w:pPr>
      <w:r>
        <w:t xml:space="preserve">8. der Tag der Erhebung der Widerklage auf Feststellung oder Erklärung der Nichtigkeit sowie das Ergebnis des Verfahrens (§ 52b Absatz 4 des Designgesetzes) und</w:t>
      </w:r>
    </w:p>
    <w:p>
      <w:pPr>
        <w:ind w:left="420"/>
      </w:pPr>
      <w:r>
        <w:t xml:space="preserve">9. der Tag und der Grund der Löschung des eingetragenen Designs (§ 36 Absatz 1 des Designgesetzes).</w:t>
      </w:r>
    </w:p>
    <w:p>
      <w:r>
        <w:rPr>
          <w:color w:val="555555"/>
          <w:sz w:val="17"/>
        </w:rPr>
        <w:t xml:space="preserve">Zitiervorschlag: § 16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