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DesignV — Weiterbehandlung der Anmeldung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Antrag auf Weiterbehandlung der infolge Fristversäumnisses zurückgewiesenen Anmeldung (§ 17 Absatz 1 des Designgesetzes) muss folgende Angaben enthalten:</w:t>
      </w:r>
    </w:p>
    <w:p>
      <w:pPr>
        <w:ind w:left="420"/>
      </w:pPr>
      <w:r>
        <w:t xml:space="preserve">1. das Aktenzeichen der Anmeldung,</w:t>
      </w:r>
    </w:p>
    <w:p>
      <w:pPr>
        <w:ind w:left="420"/>
      </w:pPr>
      <w:r>
        <w:t xml:space="preserve">2. den Namen des Anmelders und</w:t>
      </w:r>
    </w:p>
    <w:p>
      <w:pPr>
        <w:ind w:left="420"/>
      </w:pPr>
      <w:r>
        <w:t xml:space="preserve">3. das Datum des Beschlusses, auf den sich der Antrag bezieht.</w:t>
      </w:r>
    </w:p>
    <w:p>
      <w:r>
        <w:rPr>
          <w:color w:val="555555"/>
          <w:sz w:val="17"/>
        </w:rPr>
        <w:t xml:space="preserve">Zitiervorschlag: § 13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