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12 DesignV — Teilung einer Sammelanmeldung</w:t>
      </w:r>
    </w:p>
    <w:p>
      <w:r>
        <w:rPr>
          <w:color w:val="555555"/>
          <w:sz w:val="18"/>
        </w:rPr>
        <w:t xml:space="preserve">Designverordnung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Eine Sammelanmeldung kann nach § 12 Absatz 2 des Designgesetzes in zwei oder mehrere Anmeldungen geteilt werden.</w:t>
      </w:r>
    </w:p>
    <w:p>
      <w:r>
        <w:t xml:space="preserve">(2) In der Teilungserklärung sind anzugeben:</w:t>
      </w:r>
    </w:p>
    <w:p>
      <w:pPr>
        <w:ind w:left="420"/>
      </w:pPr>
      <w:r>
        <w:t xml:space="preserve">1. das Aktenzeichen der Sammelanmeldung und</w:t>
      </w:r>
    </w:p>
    <w:p>
      <w:pPr>
        <w:ind w:left="420"/>
      </w:pPr>
      <w:r>
        <w:t xml:space="preserve">2. die Nummern der Designs, die abgeteilt werden sollen.</w:t>
      </w:r>
    </w:p>
    <w:p>
      <w:r>
        <w:t xml:space="preserve">(3) Die Teilung wird vorgenommen, sobald der nach § 12 Absatz 2 Satz 3 des Designgesetzes zu entrichtende Differenzbetrag gezahlt wurde.</w:t>
      </w:r>
    </w:p>
    <w:p>
      <w:r>
        <w:t xml:space="preserve">(4) Ändern sich die Angaben nach § 6 Absatz 1 und 4 infolge einer Änderung der Angaben zum Anmelder oder Vertreter hinsichtlich einzelner Designs, so wird die Sammelanmeldung von Amts wegen geteilt.</w:t>
      </w:r>
    </w:p>
    <w:p>
      <w:r>
        <w:rPr>
          <w:color w:val="555555"/>
          <w:sz w:val="17"/>
        </w:rPr>
        <w:t xml:space="preserve">Zitiervorschlag: § 12 DesignV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https://recht.nulegal.eu/gesetze/DesignV/12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