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DerivateV 2013 — Zugehöriges Vergleichsvermögen</w:t>
      </w:r>
    </w:p>
    <w:p>
      <w:r>
        <w:rPr>
          <w:color w:val="555555"/>
          <w:sz w:val="18"/>
        </w:rPr>
        <w:t xml:space="preserve">Derivateverordnung</w:t>
      </w:r>
    </w:p>
    <w:p>
      <w:r>
        <w:rPr>
          <w:color w:val="555555"/>
          <w:sz w:val="18"/>
        </w:rPr>
        <w:t xml:space="preserve">Stand: 25.06.2023 (konsolidierte Textfassung, kein amtliches Inkrafttretensdatum)</w:t>
      </w:r>
    </w:p>
    <w:p>
      <w:r>
        <w:t xml:space="preserve">(1) Das zugehörige Vergleichsvermögen ist regelmäßig ein derivatefreies Vermögen, das keinen Leverage aufweist und dessen Marktwert dem aktuellen Marktwert des Investmentvermögens entspricht.</w:t>
      </w:r>
    </w:p>
    <w:p>
      <w:r>
        <w:t xml:space="preserve">(2) Die Zusammensetzung des Vergleichsvermögens muss</w:t>
      </w:r>
    </w:p>
    <w:p>
      <w:pPr>
        <w:ind w:left="420"/>
      </w:pPr>
      <w:r>
        <w:t xml:space="preserve">1. den Anlagebedingungen des Investmentvermögens und den Angaben des Verkaufsprospektes und den wesentlichen Anlegerinformationen zu den Anlagezielen und der Anlagepolitik des Investmentvermögens entsprechen sowie</w:t>
      </w:r>
    </w:p>
    <w:p>
      <w:pPr>
        <w:ind w:left="420"/>
      </w:pPr>
      <w:r>
        <w:t xml:space="preserve">2. die Anlagegrenzen des Kapitalanlagegesetzbuches einhalten; hiervon ausgenommen sind die Ausstellergrenzen nach den §§ 206 und 207 des Kapitalanlagegesetzbuches.</w:t>
      </w:r>
    </w:p>
    <w:p>
      <w:r>
        <w:t xml:space="preserve">(3) Wenn für das Investmentvermögen ein derivatefreier Vergleichsmaßstab definiert ist, so muss das zugehörige Vergleichsvermögen diesen Vergleichsmaßstab möglichst genau nachbilden. In begründeten Einzelfällen darf von Absatz 2 abgewichen werden.</w:t>
      </w:r>
    </w:p>
    <w:p>
      <w:r>
        <w:t xml:space="preserve">(4) Im Zweifelsfall sind für das Vergleichsvermögen diejenigen Vermögensgegenstände zu wählen, die den geringeren potenziellen Risikobetrag für das Marktrisiko ergeben.</w:t>
      </w:r>
    </w:p>
    <w:p>
      <w:r>
        <w:t xml:space="preserve">(5) Die Kapitalverwaltungsgesellschaft muss Richtlinien für die Zusammensetzung des Vergleichsvermögens und für die Änderungen dieser Zusammensetzung erstellen. Die Festlegung der Zusammensetzung des Vergleichsvermögens ist innerhalb des Risikomanagementprozesses zu berücksichtigen. Die Zusammensetzung und jede Änderung der Zusammensetzung des Vergleichsvermögens sind nachvollziehbar zu dokumentieren. Sofern für das Vergleichsvermögen ein Index verwendet wird, müssen dessen Zusammensetzung und Entwicklung transparent sein. Der Prüfungsbericht gemäß den §§ 102, 121 Absatz 3 und § 136 Absatz 3 des Kapitalanlagegesetzbuches hat Angaben darüber zu enthalten, ob das Vergleichsvermögen gemäß den Absätzen 1 bis 4 ordnungsgemäß ist.</w:t>
      </w:r>
    </w:p>
    <w:p>
      <w:r>
        <w:t xml:space="preserve">(6) Nimmt die Kapitalverwaltungsgesellschaft eine wesentliche Änderung des Vergleichsmaßstabs im Sinne des Absatzes 3 vor, ist dies der Bundesanstalt unverzüglich und nachvollziehbar über ein von ihr bereitgestelltes elektronisches Kommunikationsverfahren anzuzeigen; von der Anzeigepflicht ausgenommen sind Änderungen von Vergleichsmaßstäben für Spezial-AIF nach § 284 des Kapitalanlagegesetzbuches.</w:t>
      </w:r>
    </w:p>
    <w:p>
      <w:r>
        <w:rPr>
          <w:color w:val="555555"/>
          <w:sz w:val="17"/>
        </w:rPr>
        <w:t xml:space="preserve">Zitiervorschlag: § 9 DerivateV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https://recht.nulegal.eu/gesetze/DerivateV%202013/9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