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DerivateV 2013 — Abgrenzung</w:t>
      </w:r>
    </w:p>
    <w:p>
      <w:r>
        <w:rPr>
          <w:color w:val="555555"/>
          <w:sz w:val="18"/>
        </w:rPr>
        <w:t xml:space="preserve">Derivateverordnung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Rahmen des qualifizierten Ansatzes kann die Kapitalverwaltungsgesellschaft den potenziellen Risikobetrag entweder relativ im Verhältnis zu dem zugehörigen Vergleichsvermögen nach § 7 Absatz 1 oder absolut nach § 7 Absatz 2 begrenzen. Dabei wählt sie die Methode entsprechend § 5 Absatz 2 in eigener Verantwortung. Die Methode muss bezüglich des Risikoprofils und der Anlagestrategie des Investmentvermögens angemessen sein. Die Methode ist in der Regel kontinuierlich zu verwenden.</w:t>
      </w:r>
    </w:p>
    <w:p>
      <w:r>
        <w:rPr>
          <w:color w:val="555555"/>
          <w:sz w:val="17"/>
        </w:rPr>
        <w:t xml:space="preserve">Zitiervorschlag: § 8 DerivateV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https://recht.nulegal.eu/gesetze/DerivateV%202013/8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