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7 DerivateV 2013 — Risikobegrenzung</w:t>
      </w:r>
    </w:p>
    <w:p>
      <w:r>
        <w:rPr>
          <w:color w:val="555555"/>
          <w:sz w:val="18"/>
        </w:rPr>
        <w:t xml:space="preserve">Derivateverordnung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(1) Der einem Investmentvermögen zuzuordnende potenzielle Risikobetrag für das Marktrisiko darf zu keinem Zeitpunkt das Zweifache des potenziellen Risikobetrags für das Marktrisiko des zugehörigen Vergleichsvermögens übersteigen.</w:t>
      </w:r>
    </w:p>
    <w:p>
      <w:r>
        <w:t xml:space="preserve">(2) Alternativ darf der einem Investmentvermögen zuzuordnende potenzielle Risikobetrag für das Marktrisiko zu keinem Zeitpunkt 20 Prozent des Wertes des Investmentvermögens übersteigen.</w:t>
      </w:r>
    </w:p>
    <w:p>
      <w:r>
        <w:rPr>
          <w:color w:val="555555"/>
          <w:sz w:val="17"/>
        </w:rPr>
        <w:t xml:space="preserve">Zitiervorschlag: § 7 DerivateV 2013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https://recht.nulegal.eu/gesetze/DerivateV%202013/7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