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DerivateV 2013 — Inkrafttreten, Außerkrafttreten</w:t>
      </w:r>
    </w:p>
    <w:p>
      <w:r>
        <w:rPr>
          <w:color w:val="555555"/>
          <w:sz w:val="18"/>
        </w:rPr>
        <w:t xml:space="preserve">Derivateverordnung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22. Juli 2013 in Kraft. Gleichzeitig tritt die Derivateverordnung vom 6. Februar 2004 (BGBl. I S. 153), die durch Artikel 1 der Verordnung vom 28. Juni 2011 (BGBl. I S. 1278) geändert worden ist, außer Kraft.</w:t>
      </w:r>
    </w:p>
    <w:p>
      <w:r>
        <w:rPr>
          <w:color w:val="555555"/>
          <w:sz w:val="17"/>
        </w:rPr>
        <w:t xml:space="preserve">Zitiervorschlag: § 41 DerivateV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https://recht.nulegal.eu/gesetze/DerivateV%202013/41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